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7D" w:rsidRDefault="0047217D" w:rsidP="00CC101D">
      <w:pPr>
        <w:jc w:val="center"/>
        <w:rPr>
          <w:rFonts w:ascii="Bookman Old Style" w:hAnsi="Bookman Old Style"/>
          <w:b/>
          <w:color w:val="0D0D0D"/>
          <w:sz w:val="24"/>
          <w:szCs w:val="24"/>
        </w:rPr>
      </w:pPr>
      <w:r>
        <w:rPr>
          <w:rFonts w:ascii="Bookman Old Style" w:hAnsi="Bookman Old Style"/>
          <w:b/>
          <w:color w:val="0D0D0D"/>
          <w:sz w:val="24"/>
          <w:szCs w:val="24"/>
        </w:rPr>
        <w:t xml:space="preserve"> University of Central Missouri</w:t>
      </w:r>
    </w:p>
    <w:p w:rsidR="0047217D" w:rsidRDefault="0047217D" w:rsidP="00CC101D">
      <w:pPr>
        <w:jc w:val="center"/>
        <w:rPr>
          <w:rFonts w:ascii="Bookman Old Style" w:hAnsi="Bookman Old Style"/>
          <w:b/>
          <w:color w:val="0D0D0D"/>
          <w:sz w:val="24"/>
          <w:szCs w:val="24"/>
        </w:rPr>
      </w:pPr>
      <w:r>
        <w:rPr>
          <w:rFonts w:ascii="Bookman Old Style" w:hAnsi="Bookman Old Style"/>
          <w:b/>
          <w:color w:val="0D0D0D"/>
          <w:sz w:val="24"/>
          <w:szCs w:val="24"/>
        </w:rPr>
        <w:t xml:space="preserve">2010 </w:t>
      </w:r>
      <w:r w:rsidRPr="004E4F52">
        <w:rPr>
          <w:rFonts w:ascii="Bookman Old Style" w:hAnsi="Bookman Old Style"/>
          <w:b/>
          <w:color w:val="0D0D0D"/>
          <w:sz w:val="24"/>
          <w:szCs w:val="24"/>
        </w:rPr>
        <w:t>Senior Exit Survey</w:t>
      </w:r>
      <w:r>
        <w:rPr>
          <w:rFonts w:ascii="Bookman Old Style" w:hAnsi="Bookman Old Style"/>
          <w:b/>
          <w:color w:val="0D0D0D"/>
          <w:sz w:val="24"/>
          <w:szCs w:val="24"/>
        </w:rPr>
        <w:t xml:space="preserve"> Report</w:t>
      </w:r>
    </w:p>
    <w:p w:rsidR="0047217D" w:rsidRDefault="0047217D" w:rsidP="00CC101D">
      <w:pPr>
        <w:jc w:val="center"/>
        <w:rPr>
          <w:rFonts w:ascii="Bookman Old Style" w:hAnsi="Bookman Old Style"/>
          <w:b/>
          <w:color w:val="0D0D0D"/>
          <w:sz w:val="24"/>
          <w:szCs w:val="24"/>
        </w:rPr>
      </w:pPr>
      <w:r>
        <w:rPr>
          <w:rFonts w:ascii="Bookman Old Style" w:hAnsi="Bookman Old Style"/>
          <w:b/>
          <w:color w:val="0D0D0D"/>
          <w:sz w:val="24"/>
          <w:szCs w:val="24"/>
        </w:rPr>
        <w:t>Executive Summary</w:t>
      </w:r>
    </w:p>
    <w:p w:rsidR="0047217D" w:rsidRDefault="0047217D" w:rsidP="00E1355A">
      <w:pPr>
        <w:rPr>
          <w:rFonts w:ascii="Bookman Old Style" w:hAnsi="Bookman Old Style"/>
          <w:sz w:val="21"/>
          <w:szCs w:val="21"/>
        </w:rPr>
      </w:pPr>
      <w:r>
        <w:rPr>
          <w:rFonts w:ascii="Bookman Old Style" w:hAnsi="Bookman Old Style"/>
          <w:color w:val="0D0D0D"/>
          <w:sz w:val="21"/>
          <w:szCs w:val="21"/>
        </w:rPr>
        <w:t>To</w:t>
      </w:r>
      <w:r w:rsidRPr="00FE5654">
        <w:rPr>
          <w:rFonts w:ascii="Bookman Old Style" w:hAnsi="Bookman Old Style"/>
          <w:color w:val="0D0D0D"/>
          <w:sz w:val="21"/>
          <w:szCs w:val="21"/>
        </w:rPr>
        <w:t xml:space="preserve"> gauge how graduating seniors perceive various aspects of their unde</w:t>
      </w:r>
      <w:r>
        <w:rPr>
          <w:rFonts w:ascii="Bookman Old Style" w:hAnsi="Bookman Old Style"/>
          <w:color w:val="0D0D0D"/>
          <w:sz w:val="21"/>
          <w:szCs w:val="21"/>
        </w:rPr>
        <w:t>rgraduate experience at the University of Central Missouri, an exit s</w:t>
      </w:r>
      <w:r w:rsidRPr="00FE5654">
        <w:rPr>
          <w:rFonts w:ascii="Bookman Old Style" w:hAnsi="Bookman Old Style"/>
          <w:color w:val="0D0D0D"/>
          <w:sz w:val="21"/>
          <w:szCs w:val="21"/>
        </w:rPr>
        <w:t>urvey is administered to each graduating class.</w:t>
      </w:r>
      <w:r>
        <w:rPr>
          <w:rFonts w:ascii="Bookman Old Style" w:hAnsi="Bookman Old Style"/>
          <w:color w:val="0D0D0D"/>
          <w:sz w:val="24"/>
          <w:szCs w:val="24"/>
        </w:rPr>
        <w:t xml:space="preserve"> </w:t>
      </w:r>
      <w:r>
        <w:rPr>
          <w:rFonts w:ascii="Bookman Old Style" w:hAnsi="Bookman Old Style"/>
          <w:sz w:val="21"/>
          <w:szCs w:val="21"/>
        </w:rPr>
        <w:t xml:space="preserve">Since 2008, all seniors who completed their program of study at UCM are directed to take the survey electronically as they complete their online graduation application. The survey, which is organized into eight sections, assesses students’ perception of various aspects of their undergraduate experience at UCM. A total of 1,402 graduating seniors participated in the 2010 survey. The respondents were representative of the 2010 graduating class as a whole.  Among the major findings are the following: </w:t>
      </w:r>
    </w:p>
    <w:p w:rsidR="0047217D" w:rsidRPr="009C6D1A" w:rsidRDefault="0047217D" w:rsidP="009C6D1A">
      <w:pPr>
        <w:rPr>
          <w:b/>
          <w:color w:val="FF0000"/>
          <w:sz w:val="21"/>
          <w:szCs w:val="21"/>
        </w:rPr>
      </w:pPr>
      <w:r w:rsidRPr="00984826">
        <w:rPr>
          <w:rFonts w:ascii="Bookman Old Style" w:hAnsi="Bookman Old Style"/>
          <w:b/>
          <w:color w:val="FF0000"/>
          <w:sz w:val="21"/>
          <w:szCs w:val="21"/>
        </w:rPr>
        <w:t>Characteristics</w:t>
      </w:r>
      <w:r>
        <w:rPr>
          <w:b/>
          <w:color w:val="FF0000"/>
          <w:sz w:val="21"/>
          <w:szCs w:val="21"/>
        </w:rPr>
        <w:t xml:space="preserve"> </w:t>
      </w:r>
      <w:r w:rsidRPr="00391103">
        <w:rPr>
          <w:rFonts w:ascii="Bookman Old Style" w:hAnsi="Bookman Old Style"/>
          <w:b/>
          <w:color w:val="FF0000"/>
          <w:sz w:val="21"/>
          <w:szCs w:val="21"/>
        </w:rPr>
        <w:t xml:space="preserve">of Respondents    </w:t>
      </w:r>
      <w:r w:rsidRPr="009C6D1A">
        <w:rPr>
          <w:b/>
          <w:color w:val="FF0000"/>
          <w:sz w:val="21"/>
          <w:szCs w:val="21"/>
        </w:rPr>
        <w:t xml:space="preserve">                                                                                                                                                                                                                                    </w:t>
      </w:r>
    </w:p>
    <w:p w:rsidR="0047217D" w:rsidRDefault="0047217D" w:rsidP="005047B1">
      <w:pPr>
        <w:pStyle w:val="ListParagraph"/>
        <w:numPr>
          <w:ilvl w:val="0"/>
          <w:numId w:val="1"/>
        </w:numPr>
        <w:spacing w:after="0"/>
        <w:rPr>
          <w:rFonts w:ascii="Bookman Old Style" w:hAnsi="Bookman Old Style"/>
          <w:sz w:val="21"/>
          <w:szCs w:val="21"/>
        </w:rPr>
      </w:pPr>
      <w:r>
        <w:rPr>
          <w:rFonts w:ascii="Bookman Old Style" w:hAnsi="Bookman Old Style"/>
          <w:sz w:val="21"/>
          <w:szCs w:val="21"/>
        </w:rPr>
        <w:t>The v</w:t>
      </w:r>
      <w:r w:rsidRPr="0012038F">
        <w:rPr>
          <w:rFonts w:ascii="Bookman Old Style" w:hAnsi="Bookman Old Style"/>
          <w:sz w:val="21"/>
          <w:szCs w:val="21"/>
        </w:rPr>
        <w:t xml:space="preserve">ast majorities </w:t>
      </w:r>
      <w:r>
        <w:rPr>
          <w:rFonts w:ascii="Bookman Old Style" w:hAnsi="Bookman Old Style"/>
          <w:sz w:val="21"/>
          <w:szCs w:val="21"/>
        </w:rPr>
        <w:t>of respondents (</w:t>
      </w:r>
      <w:r w:rsidRPr="0012038F">
        <w:rPr>
          <w:rFonts w:ascii="Bookman Old Style" w:hAnsi="Bookman Old Style"/>
          <w:sz w:val="21"/>
          <w:szCs w:val="21"/>
        </w:rPr>
        <w:t xml:space="preserve">85%) were </w:t>
      </w:r>
      <w:r>
        <w:rPr>
          <w:rFonts w:ascii="Bookman Old Style" w:hAnsi="Bookman Old Style"/>
          <w:sz w:val="21"/>
          <w:szCs w:val="21"/>
        </w:rPr>
        <w:t xml:space="preserve">Caucasian. </w:t>
      </w:r>
      <w:r w:rsidRPr="0012038F">
        <w:rPr>
          <w:rFonts w:ascii="Bookman Old Style" w:hAnsi="Bookman Old Style"/>
          <w:sz w:val="21"/>
          <w:szCs w:val="21"/>
        </w:rPr>
        <w:t>African American</w:t>
      </w:r>
      <w:r>
        <w:rPr>
          <w:rFonts w:ascii="Bookman Old Style" w:hAnsi="Bookman Old Style"/>
          <w:sz w:val="21"/>
          <w:szCs w:val="21"/>
        </w:rPr>
        <w:t>s represented (6%) and</w:t>
      </w:r>
      <w:r w:rsidRPr="0012038F">
        <w:rPr>
          <w:rFonts w:ascii="Bookman Old Style" w:hAnsi="Bookman Old Style"/>
          <w:sz w:val="21"/>
          <w:szCs w:val="21"/>
        </w:rPr>
        <w:t xml:space="preserve"> </w:t>
      </w:r>
      <w:r>
        <w:rPr>
          <w:rFonts w:ascii="Bookman Old Style" w:hAnsi="Bookman Old Style"/>
          <w:sz w:val="21"/>
          <w:szCs w:val="21"/>
        </w:rPr>
        <w:t>Hispanics (2%). Another 2% classified themselves as members of other ethnic groups. Three percent of the respondents didn’t respond. The majority of participating seniors (61%) were female.</w:t>
      </w:r>
    </w:p>
    <w:p w:rsidR="0047217D" w:rsidRDefault="0047217D" w:rsidP="00DA6183">
      <w:pPr>
        <w:spacing w:after="0"/>
        <w:ind w:left="720"/>
        <w:rPr>
          <w:rFonts w:ascii="Bookman Old Style" w:hAnsi="Bookman Old Style"/>
          <w:sz w:val="21"/>
          <w:szCs w:val="21"/>
        </w:rPr>
      </w:pPr>
    </w:p>
    <w:p w:rsidR="0047217D" w:rsidRDefault="0047217D" w:rsidP="00E70CDA">
      <w:pPr>
        <w:pStyle w:val="ListParagraph"/>
        <w:numPr>
          <w:ilvl w:val="0"/>
          <w:numId w:val="1"/>
        </w:numPr>
        <w:spacing w:after="0"/>
        <w:rPr>
          <w:rFonts w:ascii="Bookman Old Style" w:hAnsi="Bookman Old Style"/>
          <w:sz w:val="21"/>
          <w:szCs w:val="21"/>
        </w:rPr>
      </w:pPr>
      <w:r w:rsidRPr="005047B1">
        <w:rPr>
          <w:rFonts w:ascii="Bookman Old Style" w:hAnsi="Bookman Old Style"/>
          <w:sz w:val="21"/>
          <w:szCs w:val="21"/>
        </w:rPr>
        <w:t>The percentage of graduating seniors who participated in the survey varied by college: Health and Human Services (26%)</w:t>
      </w:r>
      <w:r>
        <w:rPr>
          <w:rFonts w:ascii="Bookman Old Style" w:hAnsi="Bookman Old Style"/>
          <w:sz w:val="21"/>
          <w:szCs w:val="21"/>
        </w:rPr>
        <w:t xml:space="preserve">; </w:t>
      </w:r>
      <w:r w:rsidRPr="005047B1">
        <w:rPr>
          <w:rFonts w:ascii="Bookman Old Style" w:hAnsi="Bookman Old Style"/>
          <w:sz w:val="21"/>
          <w:szCs w:val="21"/>
        </w:rPr>
        <w:t>Arts, Humanit</w:t>
      </w:r>
      <w:r>
        <w:rPr>
          <w:rFonts w:ascii="Bookman Old Style" w:hAnsi="Bookman Old Style"/>
          <w:sz w:val="21"/>
          <w:szCs w:val="21"/>
        </w:rPr>
        <w:t>ies</w:t>
      </w:r>
      <w:r w:rsidRPr="005047B1">
        <w:rPr>
          <w:rFonts w:ascii="Bookman Old Style" w:hAnsi="Bookman Old Style"/>
          <w:sz w:val="21"/>
          <w:szCs w:val="21"/>
        </w:rPr>
        <w:t>, and Social Sciences (24%)</w:t>
      </w:r>
      <w:r>
        <w:rPr>
          <w:rFonts w:ascii="Bookman Old Style" w:hAnsi="Bookman Old Style"/>
          <w:sz w:val="21"/>
          <w:szCs w:val="21"/>
        </w:rPr>
        <w:t>;</w:t>
      </w:r>
      <w:r w:rsidRPr="005047B1">
        <w:rPr>
          <w:rFonts w:ascii="Bookman Old Style" w:hAnsi="Bookman Old Style"/>
          <w:sz w:val="21"/>
          <w:szCs w:val="21"/>
        </w:rPr>
        <w:t xml:space="preserve"> Science and Technology (19</w:t>
      </w:r>
      <w:r>
        <w:rPr>
          <w:rFonts w:ascii="Bookman Old Style" w:hAnsi="Bookman Old Style"/>
          <w:sz w:val="21"/>
          <w:szCs w:val="21"/>
        </w:rPr>
        <w:t xml:space="preserve">%); </w:t>
      </w:r>
      <w:r w:rsidRPr="005047B1">
        <w:rPr>
          <w:rFonts w:ascii="Bookman Old Style" w:hAnsi="Bookman Old Style"/>
          <w:sz w:val="21"/>
          <w:szCs w:val="21"/>
        </w:rPr>
        <w:t>Harmon College of Business Administration (16%)</w:t>
      </w:r>
      <w:r>
        <w:rPr>
          <w:rFonts w:ascii="Bookman Old Style" w:hAnsi="Bookman Old Style"/>
          <w:sz w:val="21"/>
          <w:szCs w:val="21"/>
        </w:rPr>
        <w:t>; and</w:t>
      </w:r>
      <w:r w:rsidRPr="005047B1">
        <w:rPr>
          <w:rFonts w:ascii="Bookman Old Style" w:hAnsi="Bookman Old Style"/>
          <w:sz w:val="21"/>
          <w:szCs w:val="21"/>
        </w:rPr>
        <w:t xml:space="preserve"> Education (15</w:t>
      </w:r>
      <w:r>
        <w:rPr>
          <w:rFonts w:ascii="Bookman Old Style" w:hAnsi="Bookman Old Style"/>
          <w:sz w:val="21"/>
          <w:szCs w:val="21"/>
        </w:rPr>
        <w:t>%).</w:t>
      </w:r>
    </w:p>
    <w:p w:rsidR="0047217D" w:rsidRDefault="0047217D" w:rsidP="005047B1">
      <w:pPr>
        <w:pStyle w:val="ListParagraph"/>
        <w:rPr>
          <w:rFonts w:ascii="Bookman Old Style" w:hAnsi="Bookman Old Style"/>
          <w:sz w:val="21"/>
          <w:szCs w:val="21"/>
        </w:rPr>
      </w:pPr>
    </w:p>
    <w:p w:rsidR="0047217D" w:rsidRDefault="0047217D" w:rsidP="00E70CDA">
      <w:pPr>
        <w:pStyle w:val="ListParagraph"/>
        <w:numPr>
          <w:ilvl w:val="0"/>
          <w:numId w:val="1"/>
        </w:numPr>
        <w:spacing w:after="0"/>
        <w:rPr>
          <w:rFonts w:ascii="Bookman Old Style" w:hAnsi="Bookman Old Style"/>
          <w:sz w:val="21"/>
          <w:szCs w:val="21"/>
        </w:rPr>
      </w:pPr>
      <w:r>
        <w:rPr>
          <w:rFonts w:ascii="Bookman Old Style" w:hAnsi="Bookman Old Style"/>
          <w:sz w:val="21"/>
          <w:szCs w:val="21"/>
        </w:rPr>
        <w:t>Seventy-seven percent of 2010 graduating seniors</w:t>
      </w:r>
      <w:r w:rsidRPr="00DD06F9">
        <w:rPr>
          <w:rFonts w:ascii="Bookman Old Style" w:hAnsi="Bookman Old Style"/>
          <w:sz w:val="21"/>
          <w:szCs w:val="21"/>
        </w:rPr>
        <w:t xml:space="preserve"> transferred credits from other institutions toward their undergraduat</w:t>
      </w:r>
      <w:r>
        <w:rPr>
          <w:rFonts w:ascii="Bookman Old Style" w:hAnsi="Bookman Old Style"/>
          <w:sz w:val="21"/>
          <w:szCs w:val="21"/>
        </w:rPr>
        <w:t>e degree</w:t>
      </w:r>
      <w:r w:rsidRPr="00DD06F9">
        <w:rPr>
          <w:rFonts w:ascii="Bookman Old Style" w:hAnsi="Bookman Old Style"/>
          <w:sz w:val="21"/>
          <w:szCs w:val="21"/>
        </w:rPr>
        <w:t xml:space="preserve"> at UCM. </w:t>
      </w:r>
      <w:r>
        <w:rPr>
          <w:rFonts w:ascii="Bookman Old Style" w:hAnsi="Bookman Old Style"/>
          <w:sz w:val="21"/>
          <w:szCs w:val="21"/>
        </w:rPr>
        <w:t xml:space="preserve">The number of credits transferred varied: </w:t>
      </w:r>
      <w:r w:rsidRPr="005047B1">
        <w:rPr>
          <w:rFonts w:ascii="Bookman Old Style" w:hAnsi="Bookman Old Style"/>
          <w:sz w:val="21"/>
          <w:szCs w:val="21"/>
        </w:rPr>
        <w:t>1-15 credits</w:t>
      </w:r>
      <w:r>
        <w:rPr>
          <w:rFonts w:ascii="Bookman Old Style" w:hAnsi="Bookman Old Style"/>
          <w:sz w:val="21"/>
          <w:szCs w:val="21"/>
        </w:rPr>
        <w:t xml:space="preserve"> (32%), </w:t>
      </w:r>
      <w:r w:rsidRPr="005047B1">
        <w:rPr>
          <w:rFonts w:ascii="Bookman Old Style" w:hAnsi="Bookman Old Style"/>
          <w:sz w:val="21"/>
          <w:szCs w:val="21"/>
        </w:rPr>
        <w:t>16-30 credits</w:t>
      </w:r>
      <w:r>
        <w:rPr>
          <w:rFonts w:ascii="Bookman Old Style" w:hAnsi="Bookman Old Style"/>
          <w:sz w:val="21"/>
          <w:szCs w:val="21"/>
        </w:rPr>
        <w:t xml:space="preserve"> (19%), </w:t>
      </w:r>
      <w:r w:rsidRPr="005047B1">
        <w:rPr>
          <w:rFonts w:ascii="Bookman Old Style" w:hAnsi="Bookman Old Style"/>
          <w:sz w:val="21"/>
          <w:szCs w:val="21"/>
        </w:rPr>
        <w:t>31-45 credits</w:t>
      </w:r>
      <w:r>
        <w:rPr>
          <w:rFonts w:ascii="Bookman Old Style" w:hAnsi="Bookman Old Style"/>
          <w:sz w:val="21"/>
          <w:szCs w:val="21"/>
        </w:rPr>
        <w:t xml:space="preserve"> (10</w:t>
      </w:r>
      <w:r w:rsidRPr="005047B1">
        <w:rPr>
          <w:rFonts w:ascii="Bookman Old Style" w:hAnsi="Bookman Old Style"/>
          <w:sz w:val="21"/>
          <w:szCs w:val="21"/>
        </w:rPr>
        <w:t xml:space="preserve">%) and more than 45 credits </w:t>
      </w:r>
      <w:r>
        <w:rPr>
          <w:rFonts w:ascii="Bookman Old Style" w:hAnsi="Bookman Old Style"/>
          <w:sz w:val="21"/>
          <w:szCs w:val="21"/>
        </w:rPr>
        <w:t xml:space="preserve">(39%). Respondents in the colleges of Education and Health and Human Service transferred more credits toward their undergraduate degree at UCM than did the respondents in other colleges.   </w:t>
      </w:r>
    </w:p>
    <w:p w:rsidR="0047217D" w:rsidRPr="00DD06F9" w:rsidRDefault="0047217D" w:rsidP="005E2075">
      <w:pPr>
        <w:spacing w:after="0"/>
        <w:ind w:left="720"/>
        <w:rPr>
          <w:rFonts w:ascii="Bookman Old Style" w:hAnsi="Bookman Old Style"/>
          <w:b/>
          <w:sz w:val="21"/>
          <w:szCs w:val="21"/>
        </w:rPr>
      </w:pPr>
    </w:p>
    <w:p w:rsidR="0047217D" w:rsidRPr="00984826" w:rsidRDefault="0047217D" w:rsidP="005E2075">
      <w:pPr>
        <w:spacing w:after="0"/>
        <w:rPr>
          <w:rFonts w:ascii="Bookman Old Style" w:hAnsi="Bookman Old Style"/>
          <w:b/>
          <w:color w:val="FF0000"/>
          <w:sz w:val="21"/>
          <w:szCs w:val="21"/>
        </w:rPr>
      </w:pPr>
      <w:r>
        <w:rPr>
          <w:rFonts w:ascii="Bookman Old Style" w:hAnsi="Bookman Old Style"/>
          <w:b/>
          <w:color w:val="FF0000"/>
          <w:sz w:val="21"/>
          <w:szCs w:val="21"/>
        </w:rPr>
        <w:t>Time to Degree C</w:t>
      </w:r>
      <w:r w:rsidRPr="00984826">
        <w:rPr>
          <w:rFonts w:ascii="Bookman Old Style" w:hAnsi="Bookman Old Style"/>
          <w:b/>
          <w:color w:val="FF0000"/>
          <w:sz w:val="21"/>
          <w:szCs w:val="21"/>
        </w:rPr>
        <w:t>ompletion</w:t>
      </w:r>
    </w:p>
    <w:p w:rsidR="0047217D" w:rsidRPr="005E2075" w:rsidRDefault="0047217D" w:rsidP="005E2075">
      <w:pPr>
        <w:spacing w:after="0"/>
        <w:rPr>
          <w:rFonts w:ascii="Bookman Old Style" w:hAnsi="Bookman Old Style"/>
          <w:color w:val="FF0000"/>
          <w:sz w:val="21"/>
          <w:szCs w:val="21"/>
        </w:rPr>
      </w:pPr>
    </w:p>
    <w:p w:rsidR="0047217D" w:rsidRDefault="0047217D" w:rsidP="005047B1">
      <w:pPr>
        <w:pStyle w:val="ListParagraph"/>
        <w:numPr>
          <w:ilvl w:val="0"/>
          <w:numId w:val="1"/>
        </w:numPr>
        <w:spacing w:after="0"/>
        <w:rPr>
          <w:rFonts w:ascii="Bookman Old Style" w:hAnsi="Bookman Old Style"/>
          <w:sz w:val="21"/>
          <w:szCs w:val="21"/>
        </w:rPr>
      </w:pPr>
      <w:r>
        <w:rPr>
          <w:rFonts w:ascii="Bookman Old Style" w:hAnsi="Bookman Old Style"/>
          <w:sz w:val="21"/>
          <w:szCs w:val="21"/>
        </w:rPr>
        <w:t>T</w:t>
      </w:r>
      <w:r w:rsidRPr="00767ED7">
        <w:rPr>
          <w:rFonts w:ascii="Bookman Old Style" w:hAnsi="Bookman Old Style"/>
          <w:sz w:val="21"/>
          <w:szCs w:val="21"/>
        </w:rPr>
        <w:t xml:space="preserve">he percentage of </w:t>
      </w:r>
      <w:r>
        <w:rPr>
          <w:rFonts w:ascii="Bookman Old Style" w:hAnsi="Bookman Old Style"/>
          <w:sz w:val="21"/>
          <w:szCs w:val="21"/>
        </w:rPr>
        <w:t xml:space="preserve">2010 graduating </w:t>
      </w:r>
      <w:r w:rsidRPr="00767ED7">
        <w:rPr>
          <w:rFonts w:ascii="Bookman Old Style" w:hAnsi="Bookman Old Style"/>
          <w:sz w:val="21"/>
          <w:szCs w:val="21"/>
        </w:rPr>
        <w:t>seniors who indicated that they completed their undergraduate degree in four years</w:t>
      </w:r>
      <w:r>
        <w:rPr>
          <w:rFonts w:ascii="Bookman Old Style" w:hAnsi="Bookman Old Style"/>
          <w:sz w:val="21"/>
          <w:szCs w:val="21"/>
        </w:rPr>
        <w:t xml:space="preserve"> or less</w:t>
      </w:r>
      <w:r w:rsidRPr="00767ED7">
        <w:rPr>
          <w:rFonts w:ascii="Bookman Old Style" w:hAnsi="Bookman Old Style"/>
          <w:sz w:val="21"/>
          <w:szCs w:val="21"/>
        </w:rPr>
        <w:t xml:space="preserve"> </w:t>
      </w:r>
      <w:r>
        <w:rPr>
          <w:rFonts w:ascii="Bookman Old Style" w:hAnsi="Bookman Old Style"/>
          <w:sz w:val="21"/>
          <w:szCs w:val="21"/>
        </w:rPr>
        <w:t>increased from 37% in 2009 to 39</w:t>
      </w:r>
      <w:r w:rsidRPr="00767ED7">
        <w:rPr>
          <w:rFonts w:ascii="Bookman Old Style" w:hAnsi="Bookman Old Style"/>
          <w:sz w:val="21"/>
          <w:szCs w:val="21"/>
        </w:rPr>
        <w:t xml:space="preserve">% </w:t>
      </w:r>
      <w:r>
        <w:rPr>
          <w:rFonts w:ascii="Bookman Old Style" w:hAnsi="Bookman Old Style"/>
          <w:sz w:val="21"/>
          <w:szCs w:val="21"/>
        </w:rPr>
        <w:t>in 2010. R</w:t>
      </w:r>
      <w:r w:rsidRPr="0011441E">
        <w:rPr>
          <w:rFonts w:ascii="Bookman Old Style" w:hAnsi="Bookman Old Style"/>
          <w:sz w:val="21"/>
          <w:szCs w:val="21"/>
        </w:rPr>
        <w:t>espondents who selected their major in the freshman year were m</w:t>
      </w:r>
      <w:r>
        <w:rPr>
          <w:rFonts w:ascii="Bookman Old Style" w:hAnsi="Bookman Old Style"/>
          <w:sz w:val="21"/>
          <w:szCs w:val="21"/>
        </w:rPr>
        <w:t>ore likely to complete</w:t>
      </w:r>
      <w:r w:rsidRPr="0011441E">
        <w:rPr>
          <w:rFonts w:ascii="Bookman Old Style" w:hAnsi="Bookman Old Style"/>
          <w:sz w:val="21"/>
          <w:szCs w:val="21"/>
        </w:rPr>
        <w:t xml:space="preserve"> their </w:t>
      </w:r>
      <w:r>
        <w:rPr>
          <w:rFonts w:ascii="Bookman Old Style" w:hAnsi="Bookman Old Style"/>
          <w:sz w:val="21"/>
          <w:szCs w:val="21"/>
        </w:rPr>
        <w:t xml:space="preserve">baccalaureate </w:t>
      </w:r>
      <w:r w:rsidRPr="0011441E">
        <w:rPr>
          <w:rFonts w:ascii="Bookman Old Style" w:hAnsi="Bookman Old Style"/>
          <w:sz w:val="21"/>
          <w:szCs w:val="21"/>
        </w:rPr>
        <w:t>degree</w:t>
      </w:r>
      <w:r>
        <w:rPr>
          <w:rFonts w:ascii="Bookman Old Style" w:hAnsi="Bookman Old Style"/>
          <w:sz w:val="21"/>
          <w:szCs w:val="21"/>
        </w:rPr>
        <w:t>s</w:t>
      </w:r>
      <w:r w:rsidRPr="0011441E">
        <w:rPr>
          <w:rFonts w:ascii="Bookman Old Style" w:hAnsi="Bookman Old Style"/>
          <w:sz w:val="21"/>
          <w:szCs w:val="21"/>
        </w:rPr>
        <w:t xml:space="preserve"> in four years or less than their counterparts who did not</w:t>
      </w:r>
      <w:r>
        <w:rPr>
          <w:rFonts w:ascii="Bookman Old Style" w:hAnsi="Bookman Old Style"/>
          <w:sz w:val="21"/>
          <w:szCs w:val="21"/>
        </w:rPr>
        <w:t xml:space="preserve"> select their major during the</w:t>
      </w:r>
      <w:r w:rsidRPr="0011441E">
        <w:rPr>
          <w:rFonts w:ascii="Bookman Old Style" w:hAnsi="Bookman Old Style"/>
          <w:sz w:val="21"/>
          <w:szCs w:val="21"/>
        </w:rPr>
        <w:t xml:space="preserve"> freshman year. </w:t>
      </w:r>
    </w:p>
    <w:p w:rsidR="0047217D" w:rsidRDefault="0047217D" w:rsidP="005047B1">
      <w:pPr>
        <w:pStyle w:val="ListParagraph"/>
        <w:rPr>
          <w:rFonts w:ascii="Bookman Old Style" w:hAnsi="Bookman Old Style"/>
          <w:sz w:val="21"/>
          <w:szCs w:val="21"/>
        </w:rPr>
      </w:pPr>
    </w:p>
    <w:p w:rsidR="0047217D" w:rsidRDefault="0047217D" w:rsidP="005047B1">
      <w:pPr>
        <w:pStyle w:val="ListParagraph"/>
        <w:pBdr>
          <w:bottom w:val="single" w:sz="4" w:space="1" w:color="auto"/>
        </w:pBdr>
        <w:spacing w:after="0"/>
        <w:rPr>
          <w:rFonts w:ascii="Bookman Old Style" w:hAnsi="Bookman Old Style"/>
          <w:sz w:val="21"/>
          <w:szCs w:val="21"/>
        </w:rPr>
      </w:pPr>
    </w:p>
    <w:p w:rsidR="0047217D" w:rsidRPr="000A5AB3" w:rsidRDefault="0047217D" w:rsidP="005047B1">
      <w:pPr>
        <w:pStyle w:val="ListParagraph"/>
        <w:spacing w:after="0"/>
        <w:rPr>
          <w:rFonts w:ascii="Bookman Old Style" w:hAnsi="Bookman Old Style"/>
          <w:sz w:val="16"/>
          <w:szCs w:val="16"/>
        </w:rPr>
      </w:pPr>
      <w:r w:rsidRPr="000A5AB3">
        <w:rPr>
          <w:rFonts w:ascii="Bookman Old Style" w:hAnsi="Bookman Old Style"/>
          <w:sz w:val="16"/>
          <w:szCs w:val="16"/>
        </w:rPr>
        <w:t>Executive Summary of 2010 Senior Exit Survey</w:t>
      </w:r>
      <w:r>
        <w:rPr>
          <w:rFonts w:ascii="Bookman Old Style" w:hAnsi="Bookman Old Style"/>
          <w:sz w:val="16"/>
          <w:szCs w:val="16"/>
        </w:rPr>
        <w:t>, Office of Institutional Research</w:t>
      </w:r>
    </w:p>
    <w:p w:rsidR="0047217D" w:rsidRPr="000A5AB3" w:rsidRDefault="0047217D" w:rsidP="005047B1">
      <w:pPr>
        <w:pStyle w:val="ListParagraph"/>
        <w:spacing w:after="0"/>
        <w:rPr>
          <w:rFonts w:ascii="Bookman Old Style" w:hAnsi="Bookman Old Style"/>
          <w:sz w:val="16"/>
          <w:szCs w:val="16"/>
        </w:rPr>
      </w:pPr>
    </w:p>
    <w:p w:rsidR="0047217D" w:rsidRDefault="0047217D" w:rsidP="005047B1">
      <w:pPr>
        <w:pStyle w:val="ListParagraph"/>
        <w:spacing w:after="0"/>
        <w:rPr>
          <w:rFonts w:ascii="Bookman Old Style" w:hAnsi="Bookman Old Style"/>
          <w:sz w:val="21"/>
          <w:szCs w:val="21"/>
        </w:rPr>
      </w:pPr>
    </w:p>
    <w:p w:rsidR="0047217D" w:rsidRDefault="0047217D" w:rsidP="005047B1">
      <w:pPr>
        <w:pStyle w:val="ListParagraph"/>
        <w:spacing w:after="0"/>
        <w:rPr>
          <w:rFonts w:ascii="Bookman Old Style" w:hAnsi="Bookman Old Style"/>
          <w:sz w:val="21"/>
          <w:szCs w:val="21"/>
        </w:rPr>
      </w:pPr>
    </w:p>
    <w:p w:rsidR="0047217D" w:rsidRDefault="0047217D" w:rsidP="005047B1">
      <w:pPr>
        <w:pStyle w:val="ListParagraph"/>
        <w:spacing w:after="0"/>
        <w:rPr>
          <w:rFonts w:ascii="Bookman Old Style" w:hAnsi="Bookman Old Style"/>
          <w:sz w:val="21"/>
          <w:szCs w:val="21"/>
        </w:rPr>
      </w:pPr>
    </w:p>
    <w:p w:rsidR="0047217D" w:rsidRPr="00767ED7" w:rsidRDefault="0047217D" w:rsidP="00767ED7">
      <w:pPr>
        <w:pStyle w:val="ListParagraph"/>
        <w:spacing w:after="0"/>
        <w:rPr>
          <w:rFonts w:ascii="Bookman Old Style" w:hAnsi="Bookman Old Style"/>
          <w:sz w:val="21"/>
          <w:szCs w:val="21"/>
        </w:rPr>
      </w:pPr>
    </w:p>
    <w:p w:rsidR="0047217D" w:rsidRPr="005047B1" w:rsidRDefault="0047217D" w:rsidP="005047B1">
      <w:pPr>
        <w:pStyle w:val="ListParagraph"/>
        <w:numPr>
          <w:ilvl w:val="0"/>
          <w:numId w:val="1"/>
        </w:numPr>
        <w:spacing w:after="0"/>
        <w:rPr>
          <w:rFonts w:ascii="Bookman Old Style" w:hAnsi="Bookman Old Style"/>
          <w:b/>
          <w:sz w:val="21"/>
          <w:szCs w:val="21"/>
        </w:rPr>
      </w:pPr>
      <w:r>
        <w:rPr>
          <w:rFonts w:ascii="Bookman Old Style" w:hAnsi="Bookman Old Style"/>
          <w:sz w:val="21"/>
          <w:szCs w:val="21"/>
        </w:rPr>
        <w:t xml:space="preserve">The study revealed that 44% </w:t>
      </w:r>
      <w:r w:rsidRPr="00725F74">
        <w:rPr>
          <w:rFonts w:ascii="Bookman Old Style" w:hAnsi="Bookman Old Style"/>
          <w:sz w:val="21"/>
          <w:szCs w:val="21"/>
        </w:rPr>
        <w:t xml:space="preserve">of </w:t>
      </w:r>
      <w:r>
        <w:rPr>
          <w:rFonts w:ascii="Bookman Old Style" w:hAnsi="Bookman Old Style"/>
          <w:sz w:val="21"/>
          <w:szCs w:val="21"/>
        </w:rPr>
        <w:t>2010 graduating seniors selected their major during their freshman year. Respondents in the College of Science and Technology were more likely to choose their major in their freshmen year than respondents in the other four colleges.</w:t>
      </w:r>
    </w:p>
    <w:p w:rsidR="0047217D" w:rsidRPr="0027613F" w:rsidRDefault="0047217D" w:rsidP="0043067E">
      <w:pPr>
        <w:pStyle w:val="ListParagraph"/>
        <w:spacing w:after="0"/>
        <w:rPr>
          <w:rFonts w:ascii="Bookman Old Style" w:hAnsi="Bookman Old Style"/>
          <w:sz w:val="16"/>
          <w:szCs w:val="16"/>
        </w:rPr>
      </w:pPr>
    </w:p>
    <w:p w:rsidR="0047217D" w:rsidRPr="00BE4BB6" w:rsidRDefault="0047217D" w:rsidP="0043067E">
      <w:pPr>
        <w:pStyle w:val="ListParagraph"/>
        <w:numPr>
          <w:ilvl w:val="0"/>
          <w:numId w:val="29"/>
        </w:numPr>
        <w:rPr>
          <w:rFonts w:ascii="Bookman Old Style" w:hAnsi="Bookman Old Style"/>
          <w:i/>
          <w:sz w:val="21"/>
          <w:szCs w:val="21"/>
        </w:rPr>
      </w:pPr>
      <w:r>
        <w:rPr>
          <w:rFonts w:ascii="Bookman Old Style" w:hAnsi="Bookman Old Style"/>
          <w:sz w:val="21"/>
          <w:szCs w:val="21"/>
        </w:rPr>
        <w:t>Just about half (48%) of the 2010 graduating seniors did not change the major they selected in their freshman year. Thirty-three percent indicated they changed their major once; 10% changed their majors twice; 7% changed majors three times; and 2% changed their majors 4 or more times. Compared with the graduating seniors in other colleges, graduating seniors in the College of Education and the College of Science and Technology were the least likely to change the major they chose in their freshmen year. It is noteworthy that “</w:t>
      </w:r>
      <w:r w:rsidRPr="0027613F">
        <w:rPr>
          <w:rFonts w:ascii="Bookman Old Style" w:hAnsi="Bookman Old Style"/>
          <w:sz w:val="21"/>
          <w:szCs w:val="21"/>
        </w:rPr>
        <w:t>changed major</w:t>
      </w:r>
      <w:r>
        <w:rPr>
          <w:rFonts w:ascii="Bookman Old Style" w:hAnsi="Bookman Old Style"/>
          <w:i/>
          <w:sz w:val="21"/>
          <w:szCs w:val="21"/>
        </w:rPr>
        <w:t xml:space="preserve">” </w:t>
      </w:r>
      <w:r>
        <w:rPr>
          <w:rFonts w:ascii="Bookman Old Style" w:hAnsi="Bookman Old Style"/>
          <w:sz w:val="21"/>
          <w:szCs w:val="21"/>
        </w:rPr>
        <w:t>was the most frequently cited reason by seniors (n=358) for not completing their degree in four years, followed by “</w:t>
      </w:r>
      <w:r w:rsidRPr="0027613F">
        <w:rPr>
          <w:rFonts w:ascii="Bookman Old Style" w:hAnsi="Bookman Old Style"/>
          <w:sz w:val="21"/>
          <w:szCs w:val="21"/>
        </w:rPr>
        <w:t>personal reasons</w:t>
      </w:r>
      <w:r>
        <w:rPr>
          <w:rFonts w:ascii="Bookman Old Style" w:hAnsi="Bookman Old Style"/>
          <w:sz w:val="21"/>
          <w:szCs w:val="21"/>
        </w:rPr>
        <w:t xml:space="preserve">” </w:t>
      </w:r>
      <w:r w:rsidRPr="0027613F">
        <w:rPr>
          <w:rFonts w:ascii="Bookman Old Style" w:hAnsi="Bookman Old Style"/>
          <w:i/>
          <w:sz w:val="21"/>
          <w:szCs w:val="21"/>
        </w:rPr>
        <w:t>(n=268)</w:t>
      </w:r>
      <w:r>
        <w:rPr>
          <w:rFonts w:ascii="Bookman Old Style" w:hAnsi="Bookman Old Style"/>
          <w:sz w:val="21"/>
          <w:szCs w:val="21"/>
        </w:rPr>
        <w:t xml:space="preserve"> and “</w:t>
      </w:r>
      <w:r w:rsidRPr="0027613F">
        <w:rPr>
          <w:rFonts w:ascii="Bookman Old Style" w:hAnsi="Bookman Old Style"/>
          <w:sz w:val="21"/>
          <w:szCs w:val="21"/>
        </w:rPr>
        <w:t>lost credits when I transferred to UCM</w:t>
      </w:r>
      <w:r w:rsidRPr="00BE4BB6">
        <w:rPr>
          <w:rFonts w:ascii="Bookman Old Style" w:hAnsi="Bookman Old Style"/>
          <w:i/>
          <w:sz w:val="21"/>
          <w:szCs w:val="21"/>
        </w:rPr>
        <w:t xml:space="preserve">” </w:t>
      </w:r>
      <w:r>
        <w:rPr>
          <w:rFonts w:ascii="Bookman Old Style" w:hAnsi="Bookman Old Style"/>
          <w:sz w:val="21"/>
          <w:szCs w:val="21"/>
        </w:rPr>
        <w:t>(n=209</w:t>
      </w:r>
      <w:r w:rsidRPr="0027613F">
        <w:rPr>
          <w:rFonts w:ascii="Bookman Old Style" w:hAnsi="Bookman Old Style"/>
          <w:sz w:val="21"/>
          <w:szCs w:val="21"/>
        </w:rPr>
        <w:t>)</w:t>
      </w:r>
      <w:r>
        <w:rPr>
          <w:rFonts w:ascii="Bookman Old Style" w:hAnsi="Bookman Old Style"/>
          <w:sz w:val="21"/>
          <w:szCs w:val="21"/>
        </w:rPr>
        <w:t>.</w:t>
      </w:r>
    </w:p>
    <w:p w:rsidR="0047217D" w:rsidRDefault="0047217D" w:rsidP="0043067E">
      <w:pPr>
        <w:pStyle w:val="ListParagraph"/>
        <w:ind w:left="0"/>
        <w:rPr>
          <w:rFonts w:ascii="Bookman Old Style" w:hAnsi="Bookman Old Style"/>
          <w:b/>
          <w:color w:val="FF0000"/>
          <w:sz w:val="21"/>
          <w:szCs w:val="21"/>
        </w:rPr>
      </w:pPr>
      <w:r>
        <w:rPr>
          <w:rFonts w:ascii="Bookman Old Style" w:hAnsi="Bookman Old Style"/>
          <w:sz w:val="21"/>
          <w:szCs w:val="21"/>
        </w:rPr>
        <w:t xml:space="preserve">      </w:t>
      </w:r>
    </w:p>
    <w:p w:rsidR="0047217D" w:rsidRDefault="0047217D" w:rsidP="0043067E">
      <w:pPr>
        <w:pStyle w:val="ListParagraph"/>
        <w:ind w:left="0"/>
        <w:rPr>
          <w:rFonts w:ascii="Bookman Old Style" w:hAnsi="Bookman Old Style"/>
          <w:b/>
          <w:color w:val="FF0000"/>
          <w:sz w:val="21"/>
          <w:szCs w:val="21"/>
        </w:rPr>
      </w:pPr>
      <w:r>
        <w:rPr>
          <w:rFonts w:ascii="Bookman Old Style" w:hAnsi="Bookman Old Style"/>
          <w:sz w:val="21"/>
          <w:szCs w:val="21"/>
        </w:rPr>
        <w:t xml:space="preserve">      </w:t>
      </w:r>
      <w:r w:rsidRPr="005615C7">
        <w:rPr>
          <w:rFonts w:ascii="Bookman Old Style" w:hAnsi="Bookman Old Style"/>
          <w:b/>
          <w:color w:val="FF0000"/>
          <w:sz w:val="21"/>
          <w:szCs w:val="21"/>
        </w:rPr>
        <w:t>Evaluation of the Undergraduate Program</w:t>
      </w:r>
    </w:p>
    <w:p w:rsidR="0047217D" w:rsidRPr="0011441E" w:rsidRDefault="0047217D" w:rsidP="00BF2B23">
      <w:pPr>
        <w:numPr>
          <w:ilvl w:val="0"/>
          <w:numId w:val="1"/>
        </w:numPr>
        <w:spacing w:after="0"/>
        <w:rPr>
          <w:rFonts w:ascii="Bookman Old Style" w:hAnsi="Bookman Old Style"/>
          <w:sz w:val="21"/>
          <w:szCs w:val="21"/>
        </w:rPr>
      </w:pPr>
      <w:r>
        <w:rPr>
          <w:rFonts w:ascii="Bookman Old Style" w:hAnsi="Bookman Old Style"/>
          <w:sz w:val="21"/>
          <w:szCs w:val="21"/>
        </w:rPr>
        <w:t>Graduating seniors were posed with the following question, “Overall, how satisfied are you with the quality of the education you received at the University of Central Missouri?” Utilizing a 5-point scale ranging from 1= “</w:t>
      </w:r>
      <w:r>
        <w:rPr>
          <w:rFonts w:ascii="Bookman Old Style" w:hAnsi="Bookman Old Style"/>
          <w:i/>
          <w:sz w:val="21"/>
          <w:szCs w:val="21"/>
        </w:rPr>
        <w:t>v</w:t>
      </w:r>
      <w:r w:rsidRPr="00CE2217">
        <w:rPr>
          <w:rFonts w:ascii="Bookman Old Style" w:hAnsi="Bookman Old Style"/>
          <w:i/>
          <w:sz w:val="21"/>
          <w:szCs w:val="21"/>
        </w:rPr>
        <w:t xml:space="preserve">ery </w:t>
      </w:r>
      <w:r>
        <w:rPr>
          <w:rFonts w:ascii="Bookman Old Style" w:hAnsi="Bookman Old Style"/>
          <w:i/>
          <w:sz w:val="21"/>
          <w:szCs w:val="21"/>
        </w:rPr>
        <w:t>s</w:t>
      </w:r>
      <w:r w:rsidRPr="00CE2217">
        <w:rPr>
          <w:rFonts w:ascii="Bookman Old Style" w:hAnsi="Bookman Old Style"/>
          <w:i/>
          <w:sz w:val="21"/>
          <w:szCs w:val="21"/>
        </w:rPr>
        <w:t>atisfied</w:t>
      </w:r>
      <w:r>
        <w:rPr>
          <w:rFonts w:ascii="Bookman Old Style" w:hAnsi="Bookman Old Style"/>
          <w:sz w:val="21"/>
          <w:szCs w:val="21"/>
        </w:rPr>
        <w:t>” to 5= “</w:t>
      </w:r>
      <w:r>
        <w:rPr>
          <w:rFonts w:ascii="Bookman Old Style" w:hAnsi="Bookman Old Style"/>
          <w:i/>
          <w:sz w:val="21"/>
          <w:szCs w:val="21"/>
        </w:rPr>
        <w:t>v</w:t>
      </w:r>
      <w:r w:rsidRPr="00CE2217">
        <w:rPr>
          <w:rFonts w:ascii="Bookman Old Style" w:hAnsi="Bookman Old Style"/>
          <w:i/>
          <w:sz w:val="21"/>
          <w:szCs w:val="21"/>
        </w:rPr>
        <w:t xml:space="preserve">ery </w:t>
      </w:r>
      <w:r>
        <w:rPr>
          <w:rFonts w:ascii="Bookman Old Style" w:hAnsi="Bookman Old Style"/>
          <w:i/>
          <w:sz w:val="21"/>
          <w:szCs w:val="21"/>
        </w:rPr>
        <w:t>d</w:t>
      </w:r>
      <w:r w:rsidRPr="00CE2217">
        <w:rPr>
          <w:rFonts w:ascii="Bookman Old Style" w:hAnsi="Bookman Old Style"/>
          <w:i/>
          <w:sz w:val="21"/>
          <w:szCs w:val="21"/>
        </w:rPr>
        <w:t>issatisfied</w:t>
      </w:r>
      <w:r>
        <w:rPr>
          <w:rFonts w:ascii="Bookman Old Style" w:hAnsi="Bookman Old Style"/>
          <w:sz w:val="21"/>
          <w:szCs w:val="21"/>
        </w:rPr>
        <w:t>,” an overwhelming majority of responding seniors (90%) were “very satisfied” or “</w:t>
      </w:r>
      <w:r w:rsidRPr="00CA698D">
        <w:rPr>
          <w:rFonts w:ascii="Bookman Old Style" w:hAnsi="Bookman Old Style"/>
          <w:sz w:val="21"/>
          <w:szCs w:val="21"/>
        </w:rPr>
        <w:t>satisfied</w:t>
      </w:r>
      <w:r>
        <w:rPr>
          <w:rFonts w:ascii="Bookman Old Style" w:hAnsi="Bookman Old Style"/>
          <w:sz w:val="21"/>
          <w:szCs w:val="21"/>
        </w:rPr>
        <w:t>” with the quality of education they received at UCM. It is interesting to note that since 2008, 9 out of 10 graduating seniors were satisfied with the quality of the education they received at UCM.</w:t>
      </w:r>
    </w:p>
    <w:p w:rsidR="0047217D" w:rsidRPr="00A67336" w:rsidRDefault="0047217D" w:rsidP="00A67336">
      <w:pPr>
        <w:pStyle w:val="ListParagraph"/>
        <w:spacing w:after="0"/>
        <w:ind w:left="360"/>
        <w:rPr>
          <w:rFonts w:ascii="Bookman Old Style" w:hAnsi="Bookman Old Style"/>
          <w:sz w:val="21"/>
          <w:szCs w:val="21"/>
        </w:rPr>
      </w:pPr>
    </w:p>
    <w:p w:rsidR="0047217D" w:rsidRPr="0010564A" w:rsidRDefault="0047217D" w:rsidP="00DA73FD">
      <w:pPr>
        <w:numPr>
          <w:ilvl w:val="0"/>
          <w:numId w:val="1"/>
        </w:numPr>
        <w:spacing w:after="0"/>
        <w:rPr>
          <w:rFonts w:ascii="Bookman Old Style" w:hAnsi="Bookman Old Style"/>
          <w:sz w:val="21"/>
          <w:szCs w:val="21"/>
        </w:rPr>
      </w:pPr>
      <w:r>
        <w:rPr>
          <w:rFonts w:ascii="Bookman Old Style" w:hAnsi="Bookman Old Style"/>
          <w:sz w:val="21"/>
          <w:szCs w:val="21"/>
        </w:rPr>
        <w:t>Similar to last year, a</w:t>
      </w:r>
      <w:r w:rsidRPr="005615C7">
        <w:rPr>
          <w:rFonts w:ascii="Bookman Old Style" w:hAnsi="Bookman Old Style"/>
          <w:sz w:val="21"/>
          <w:szCs w:val="21"/>
        </w:rPr>
        <w:t>lmost 9 in 10 graduating seniors (89%) reported that the</w:t>
      </w:r>
      <w:r>
        <w:rPr>
          <w:rFonts w:ascii="Bookman Old Style" w:hAnsi="Bookman Old Style"/>
          <w:sz w:val="21"/>
          <w:szCs w:val="21"/>
        </w:rPr>
        <w:t>y</w:t>
      </w:r>
      <w:r w:rsidRPr="005615C7">
        <w:rPr>
          <w:rFonts w:ascii="Bookman Old Style" w:hAnsi="Bookman Old Style"/>
          <w:sz w:val="21"/>
          <w:szCs w:val="21"/>
        </w:rPr>
        <w:t xml:space="preserve"> </w:t>
      </w:r>
      <w:r>
        <w:rPr>
          <w:rFonts w:ascii="Bookman Old Style" w:hAnsi="Bookman Old Style"/>
          <w:sz w:val="21"/>
          <w:szCs w:val="21"/>
        </w:rPr>
        <w:t xml:space="preserve">were “very satisfied” or “satisfied” that the </w:t>
      </w:r>
      <w:r w:rsidRPr="0010564A">
        <w:rPr>
          <w:rFonts w:ascii="Bookman Old Style" w:hAnsi="Bookman Old Style"/>
          <w:sz w:val="21"/>
          <w:szCs w:val="21"/>
        </w:rPr>
        <w:t>quality of education they received at UCM increased confidence in their knowledge and abilities.</w:t>
      </w:r>
      <w:r w:rsidRPr="005615C7">
        <w:rPr>
          <w:rFonts w:ascii="Bookman Old Style" w:hAnsi="Bookman Old Style"/>
          <w:sz w:val="21"/>
          <w:szCs w:val="21"/>
        </w:rPr>
        <w:t xml:space="preserve"> </w:t>
      </w:r>
      <w:r>
        <w:rPr>
          <w:rFonts w:ascii="Bookman Old Style" w:hAnsi="Bookman Old Style"/>
          <w:sz w:val="21"/>
          <w:szCs w:val="21"/>
        </w:rPr>
        <w:t xml:space="preserve">Compared with the graduating seniors in other colleges, respondents in the College of Education were more likely to state that they were satisfied that the quality of education they received at UCM increased their confidence in their knowledge and ability. </w:t>
      </w:r>
      <w:r w:rsidRPr="00CE4E72">
        <w:rPr>
          <w:rFonts w:ascii="Bookman Old Style" w:hAnsi="Bookman Old Style"/>
          <w:sz w:val="21"/>
          <w:szCs w:val="21"/>
        </w:rPr>
        <w:t>An overwhelming majority (90%) of graduating</w:t>
      </w:r>
      <w:r>
        <w:rPr>
          <w:rFonts w:ascii="Bookman Old Style" w:hAnsi="Bookman Old Style"/>
          <w:sz w:val="21"/>
          <w:szCs w:val="21"/>
        </w:rPr>
        <w:t xml:space="preserve"> seniors were “very satisfied” or “satisfied” with the </w:t>
      </w:r>
      <w:r w:rsidRPr="0010564A">
        <w:rPr>
          <w:rFonts w:ascii="Bookman Old Style" w:hAnsi="Bookman Old Style"/>
          <w:sz w:val="21"/>
          <w:szCs w:val="21"/>
        </w:rPr>
        <w:t>quality of education in their major.</w:t>
      </w:r>
    </w:p>
    <w:p w:rsidR="0047217D" w:rsidRDefault="0047217D" w:rsidP="00D3022E">
      <w:pPr>
        <w:spacing w:after="0"/>
        <w:ind w:left="720"/>
        <w:rPr>
          <w:rFonts w:ascii="Bookman Old Style" w:hAnsi="Bookman Old Style"/>
          <w:sz w:val="21"/>
          <w:szCs w:val="21"/>
        </w:rPr>
      </w:pPr>
    </w:p>
    <w:p w:rsidR="0047217D" w:rsidRPr="00984826" w:rsidRDefault="0047217D" w:rsidP="00DA73FD">
      <w:pPr>
        <w:pStyle w:val="ListParagraph"/>
        <w:ind w:left="360"/>
        <w:rPr>
          <w:rFonts w:ascii="Bookman Old Style" w:hAnsi="Bookman Old Style"/>
          <w:b/>
          <w:color w:val="FF0000"/>
          <w:sz w:val="21"/>
          <w:szCs w:val="21"/>
        </w:rPr>
      </w:pPr>
      <w:r>
        <w:rPr>
          <w:rFonts w:ascii="Bookman Old Style" w:hAnsi="Bookman Old Style"/>
          <w:b/>
          <w:color w:val="FF0000"/>
          <w:sz w:val="21"/>
          <w:szCs w:val="21"/>
        </w:rPr>
        <w:t xml:space="preserve">Assessment of Major Department </w:t>
      </w:r>
    </w:p>
    <w:p w:rsidR="0047217D" w:rsidRPr="00F005BE" w:rsidRDefault="0047217D" w:rsidP="0010564A">
      <w:pPr>
        <w:numPr>
          <w:ilvl w:val="0"/>
          <w:numId w:val="1"/>
        </w:numPr>
        <w:spacing w:after="0"/>
        <w:rPr>
          <w:rFonts w:ascii="Bookman Old Style" w:hAnsi="Bookman Old Style"/>
          <w:sz w:val="21"/>
          <w:szCs w:val="21"/>
        </w:rPr>
      </w:pPr>
      <w:r w:rsidRPr="00F005BE">
        <w:rPr>
          <w:rFonts w:ascii="Bookman Old Style" w:hAnsi="Bookman Old Style"/>
          <w:sz w:val="21"/>
          <w:szCs w:val="21"/>
        </w:rPr>
        <w:t>Similar to 2008 and 2009, the overwhelming majority of 2010 graduating seniors rated the following aspects of their major department as excellent or good: class size (95%); student-student interaction (91%); academic rigor and challenge (92%); encouraging students to devote sufficient time and energy to their coursework (90%); fairness of evaluation of your performance (90%); practical relevance of course work (90%); academic advice from faculty (86%) and personal attention to students</w:t>
      </w:r>
      <w:r w:rsidRPr="00F005BE">
        <w:rPr>
          <w:rFonts w:ascii="Bookman Old Style" w:hAnsi="Bookman Old Style"/>
          <w:i/>
          <w:sz w:val="21"/>
          <w:szCs w:val="21"/>
        </w:rPr>
        <w:t xml:space="preserve"> </w:t>
      </w:r>
      <w:r w:rsidRPr="00F005BE">
        <w:rPr>
          <w:rFonts w:ascii="Bookman Old Style" w:hAnsi="Bookman Old Style"/>
          <w:sz w:val="21"/>
          <w:szCs w:val="21"/>
        </w:rPr>
        <w:t>(87%). A sizable majority of respondents (87%) rated the quality of instruction in their department as “excellent” or “good.”  A majority of seniors also rated faculty-student interaction in their department favorably.</w:t>
      </w:r>
    </w:p>
    <w:p w:rsidR="0047217D" w:rsidRDefault="0047217D" w:rsidP="00D236B3">
      <w:pPr>
        <w:spacing w:after="0"/>
        <w:ind w:left="720"/>
        <w:rPr>
          <w:rFonts w:ascii="Bookman Old Style" w:hAnsi="Bookman Old Style"/>
          <w:sz w:val="21"/>
          <w:szCs w:val="21"/>
        </w:rPr>
      </w:pPr>
    </w:p>
    <w:p w:rsidR="0047217D" w:rsidRDefault="0047217D" w:rsidP="00D236B3">
      <w:pPr>
        <w:spacing w:after="0"/>
        <w:ind w:left="360"/>
        <w:rPr>
          <w:rFonts w:ascii="Bookman Old Style" w:hAnsi="Bookman Old Style"/>
          <w:b/>
          <w:color w:val="FF0000"/>
          <w:sz w:val="21"/>
          <w:szCs w:val="21"/>
        </w:rPr>
      </w:pPr>
      <w:r w:rsidRPr="00D236B3">
        <w:rPr>
          <w:rFonts w:ascii="Bookman Old Style" w:hAnsi="Bookman Old Style"/>
          <w:b/>
          <w:color w:val="FF0000"/>
          <w:sz w:val="21"/>
          <w:szCs w:val="21"/>
        </w:rPr>
        <w:t>Satisfaction with Program Offerings</w:t>
      </w:r>
    </w:p>
    <w:p w:rsidR="0047217D" w:rsidRPr="00D236B3" w:rsidRDefault="0047217D" w:rsidP="00D236B3">
      <w:pPr>
        <w:spacing w:after="0"/>
        <w:ind w:left="360"/>
        <w:rPr>
          <w:rFonts w:ascii="Bookman Old Style" w:hAnsi="Bookman Old Style"/>
          <w:b/>
          <w:color w:val="FF0000"/>
          <w:sz w:val="21"/>
          <w:szCs w:val="21"/>
        </w:rPr>
      </w:pPr>
    </w:p>
    <w:p w:rsidR="0047217D" w:rsidRPr="0043067E" w:rsidRDefault="0047217D" w:rsidP="00C37505">
      <w:pPr>
        <w:numPr>
          <w:ilvl w:val="0"/>
          <w:numId w:val="1"/>
        </w:numPr>
        <w:spacing w:after="0"/>
        <w:rPr>
          <w:rFonts w:ascii="Bookman Old Style" w:hAnsi="Bookman Old Style"/>
          <w:b/>
          <w:sz w:val="21"/>
          <w:szCs w:val="21"/>
        </w:rPr>
      </w:pPr>
      <w:r>
        <w:rPr>
          <w:rFonts w:ascii="Bookman Old Style" w:hAnsi="Bookman Old Style"/>
          <w:sz w:val="21"/>
          <w:szCs w:val="21"/>
        </w:rPr>
        <w:t xml:space="preserve">Overall, respondents were “very satisfied” or “satisfied” with most of the 12 program offering items listed in the questionnaire. Eighty-one percent of graduating seniors were “very satisfied” or “satisfied” with </w:t>
      </w:r>
      <w:r w:rsidRPr="00F005BE">
        <w:rPr>
          <w:rFonts w:ascii="Bookman Old Style" w:hAnsi="Bookman Old Style"/>
          <w:sz w:val="21"/>
          <w:szCs w:val="21"/>
        </w:rPr>
        <w:t xml:space="preserve">introductory courses in the major; advanced courses in </w:t>
      </w:r>
      <w:r>
        <w:rPr>
          <w:rFonts w:ascii="Bookman Old Style" w:hAnsi="Bookman Old Style"/>
          <w:sz w:val="21"/>
          <w:szCs w:val="21"/>
        </w:rPr>
        <w:t xml:space="preserve">the </w:t>
      </w:r>
      <w:r w:rsidRPr="00F005BE">
        <w:rPr>
          <w:rFonts w:ascii="Bookman Old Style" w:hAnsi="Bookman Old Style"/>
          <w:sz w:val="21"/>
          <w:szCs w:val="21"/>
        </w:rPr>
        <w:t>major</w:t>
      </w:r>
      <w:r>
        <w:rPr>
          <w:rFonts w:ascii="Bookman Old Style" w:hAnsi="Bookman Old Style"/>
          <w:i/>
          <w:sz w:val="21"/>
          <w:szCs w:val="21"/>
        </w:rPr>
        <w:t xml:space="preserve"> </w:t>
      </w:r>
      <w:r>
        <w:rPr>
          <w:rFonts w:ascii="Bookman Old Style" w:hAnsi="Bookman Old Style"/>
          <w:sz w:val="21"/>
          <w:szCs w:val="21"/>
        </w:rPr>
        <w:t>(8</w:t>
      </w:r>
      <w:r w:rsidRPr="00CB47D7">
        <w:rPr>
          <w:rFonts w:ascii="Bookman Old Style" w:hAnsi="Bookman Old Style"/>
          <w:sz w:val="21"/>
          <w:szCs w:val="21"/>
        </w:rPr>
        <w:t>8%)</w:t>
      </w:r>
      <w:r>
        <w:rPr>
          <w:rFonts w:ascii="Bookman Old Style" w:hAnsi="Bookman Old Style"/>
          <w:sz w:val="21"/>
          <w:szCs w:val="21"/>
        </w:rPr>
        <w:t xml:space="preserve">; </w:t>
      </w:r>
      <w:r w:rsidRPr="00F005BE">
        <w:rPr>
          <w:rFonts w:ascii="Bookman Old Style" w:hAnsi="Bookman Old Style"/>
          <w:sz w:val="21"/>
          <w:szCs w:val="21"/>
        </w:rPr>
        <w:t>quality of courses and experience in preparing you for career/employment</w:t>
      </w:r>
      <w:r w:rsidRPr="003B5FB7">
        <w:rPr>
          <w:rFonts w:ascii="Bookman Old Style" w:hAnsi="Bookman Old Style"/>
          <w:i/>
          <w:sz w:val="21"/>
          <w:szCs w:val="21"/>
        </w:rPr>
        <w:t xml:space="preserve"> </w:t>
      </w:r>
      <w:r>
        <w:rPr>
          <w:rFonts w:ascii="Bookman Old Style" w:hAnsi="Bookman Old Style"/>
          <w:sz w:val="21"/>
          <w:szCs w:val="21"/>
        </w:rPr>
        <w:t xml:space="preserve">(81%); </w:t>
      </w:r>
      <w:r w:rsidRPr="00F005BE">
        <w:rPr>
          <w:rFonts w:ascii="Bookman Old Style" w:hAnsi="Bookman Old Style"/>
          <w:sz w:val="21"/>
          <w:szCs w:val="21"/>
        </w:rPr>
        <w:t>field experiences/practical</w:t>
      </w:r>
      <w:r>
        <w:rPr>
          <w:rFonts w:ascii="Bookman Old Style" w:hAnsi="Bookman Old Style"/>
          <w:sz w:val="21"/>
          <w:szCs w:val="21"/>
        </w:rPr>
        <w:t xml:space="preserve"> (76%);</w:t>
      </w:r>
      <w:r w:rsidRPr="00F005BE">
        <w:rPr>
          <w:rFonts w:ascii="Bookman Old Style" w:hAnsi="Bookman Old Style"/>
          <w:sz w:val="21"/>
          <w:szCs w:val="21"/>
        </w:rPr>
        <w:t xml:space="preserve"> printed and electronic information about the program and requirements </w:t>
      </w:r>
      <w:r>
        <w:rPr>
          <w:rFonts w:ascii="Bookman Old Style" w:hAnsi="Bookman Old Style"/>
          <w:sz w:val="21"/>
          <w:szCs w:val="21"/>
        </w:rPr>
        <w:t>(84</w:t>
      </w:r>
      <w:r w:rsidRPr="00C53F84">
        <w:rPr>
          <w:rFonts w:ascii="Bookman Old Style" w:hAnsi="Bookman Old Style"/>
          <w:sz w:val="21"/>
          <w:szCs w:val="21"/>
        </w:rPr>
        <w:t>%);</w:t>
      </w:r>
      <w:r>
        <w:rPr>
          <w:rFonts w:ascii="Bookman Old Style" w:hAnsi="Bookman Old Style"/>
          <w:sz w:val="21"/>
          <w:szCs w:val="21"/>
        </w:rPr>
        <w:t xml:space="preserve"> </w:t>
      </w:r>
      <w:r w:rsidRPr="00F005BE">
        <w:rPr>
          <w:rFonts w:ascii="Bookman Old Style" w:hAnsi="Bookman Old Style"/>
          <w:sz w:val="21"/>
          <w:szCs w:val="21"/>
        </w:rPr>
        <w:t xml:space="preserve">facilities and equipment support for the major </w:t>
      </w:r>
      <w:r>
        <w:rPr>
          <w:rFonts w:ascii="Bookman Old Style" w:hAnsi="Bookman Old Style"/>
          <w:sz w:val="21"/>
          <w:szCs w:val="21"/>
        </w:rPr>
        <w:t xml:space="preserve">(81%); and </w:t>
      </w:r>
      <w:r w:rsidRPr="00F005BE">
        <w:rPr>
          <w:rFonts w:ascii="Bookman Old Style" w:hAnsi="Bookman Old Style"/>
          <w:sz w:val="21"/>
          <w:szCs w:val="21"/>
        </w:rPr>
        <w:t>computer support for undergraduate work in the major</w:t>
      </w:r>
      <w:r>
        <w:rPr>
          <w:rFonts w:ascii="Bookman Old Style" w:hAnsi="Bookman Old Style"/>
          <w:sz w:val="21"/>
          <w:szCs w:val="21"/>
        </w:rPr>
        <w:t xml:space="preserve"> (78%).  </w:t>
      </w:r>
    </w:p>
    <w:p w:rsidR="0047217D" w:rsidRPr="0043067E" w:rsidRDefault="0047217D" w:rsidP="00324482">
      <w:pPr>
        <w:spacing w:after="0"/>
        <w:ind w:left="720"/>
        <w:rPr>
          <w:rFonts w:ascii="Bookman Old Style" w:hAnsi="Bookman Old Style"/>
          <w:b/>
          <w:sz w:val="21"/>
          <w:szCs w:val="21"/>
        </w:rPr>
      </w:pPr>
    </w:p>
    <w:p w:rsidR="0047217D" w:rsidRDefault="0047217D" w:rsidP="00C37505">
      <w:pPr>
        <w:numPr>
          <w:ilvl w:val="0"/>
          <w:numId w:val="1"/>
        </w:numPr>
        <w:spacing w:after="0"/>
        <w:rPr>
          <w:rFonts w:ascii="Bookman Old Style" w:hAnsi="Bookman Old Style"/>
          <w:sz w:val="21"/>
          <w:szCs w:val="21"/>
        </w:rPr>
      </w:pPr>
      <w:r>
        <w:rPr>
          <w:rFonts w:ascii="Bookman Old Style" w:hAnsi="Bookman Old Style"/>
          <w:sz w:val="21"/>
          <w:szCs w:val="21"/>
        </w:rPr>
        <w:t xml:space="preserve">Seventy-six percent of 2010 graduating seniors were “very satisfied” or “satisfied” with the </w:t>
      </w:r>
      <w:r w:rsidRPr="0010564A">
        <w:rPr>
          <w:rFonts w:ascii="Bookman Old Style" w:hAnsi="Bookman Old Style"/>
          <w:sz w:val="21"/>
          <w:szCs w:val="21"/>
        </w:rPr>
        <w:t xml:space="preserve">quality of courses </w:t>
      </w:r>
      <w:r>
        <w:rPr>
          <w:rFonts w:ascii="Bookman Old Style" w:hAnsi="Bookman Old Style"/>
          <w:sz w:val="21"/>
          <w:szCs w:val="21"/>
        </w:rPr>
        <w:t>and experiences in preparing them</w:t>
      </w:r>
      <w:r w:rsidRPr="0010564A">
        <w:rPr>
          <w:rFonts w:ascii="Bookman Old Style" w:hAnsi="Bookman Old Style"/>
          <w:sz w:val="21"/>
          <w:szCs w:val="21"/>
        </w:rPr>
        <w:t xml:space="preserve"> for graduate </w:t>
      </w:r>
      <w:r>
        <w:rPr>
          <w:rFonts w:ascii="Bookman Old Style" w:hAnsi="Bookman Old Style"/>
          <w:sz w:val="21"/>
          <w:szCs w:val="21"/>
        </w:rPr>
        <w:t xml:space="preserve">and/or </w:t>
      </w:r>
      <w:r w:rsidRPr="0010564A">
        <w:rPr>
          <w:rFonts w:ascii="Bookman Old Style" w:hAnsi="Bookman Old Style"/>
          <w:sz w:val="21"/>
          <w:szCs w:val="21"/>
        </w:rPr>
        <w:t>professional school</w:t>
      </w:r>
      <w:r w:rsidRPr="00917B69">
        <w:rPr>
          <w:rFonts w:ascii="Bookman Old Style" w:hAnsi="Bookman Old Style"/>
          <w:i/>
          <w:sz w:val="21"/>
          <w:szCs w:val="21"/>
        </w:rPr>
        <w:t>.</w:t>
      </w:r>
      <w:r>
        <w:rPr>
          <w:rFonts w:ascii="Bookman Old Style" w:hAnsi="Bookman Old Style"/>
          <w:sz w:val="21"/>
          <w:szCs w:val="21"/>
        </w:rPr>
        <w:t xml:space="preserve"> </w:t>
      </w:r>
      <w:r w:rsidRPr="00554CA5">
        <w:rPr>
          <w:rFonts w:ascii="Bookman Old Style" w:hAnsi="Bookman Old Style"/>
          <w:sz w:val="21"/>
          <w:szCs w:val="21"/>
        </w:rPr>
        <w:t xml:space="preserve">In both </w:t>
      </w:r>
      <w:r>
        <w:rPr>
          <w:rFonts w:ascii="Bookman Old Style" w:hAnsi="Bookman Old Style"/>
          <w:sz w:val="21"/>
          <w:szCs w:val="21"/>
        </w:rPr>
        <w:t>2009 and 2010 surveys</w:t>
      </w:r>
      <w:r w:rsidRPr="00554CA5">
        <w:rPr>
          <w:rFonts w:ascii="Bookman Old Style" w:hAnsi="Bookman Old Style"/>
          <w:sz w:val="21"/>
          <w:szCs w:val="21"/>
        </w:rPr>
        <w:t xml:space="preserve">, </w:t>
      </w:r>
      <w:r>
        <w:rPr>
          <w:rFonts w:ascii="Bookman Old Style" w:hAnsi="Bookman Old Style"/>
          <w:sz w:val="21"/>
          <w:szCs w:val="21"/>
        </w:rPr>
        <w:t>60%</w:t>
      </w:r>
      <w:r w:rsidRPr="00554CA5">
        <w:rPr>
          <w:rFonts w:ascii="Bookman Old Style" w:hAnsi="Bookman Old Style"/>
          <w:sz w:val="21"/>
          <w:szCs w:val="21"/>
        </w:rPr>
        <w:t xml:space="preserve"> of graduating seniors rated the opportunities to participate in faculty or individual research as </w:t>
      </w:r>
      <w:r>
        <w:rPr>
          <w:rFonts w:ascii="Bookman Old Style" w:hAnsi="Bookman Old Style"/>
          <w:sz w:val="21"/>
          <w:szCs w:val="21"/>
        </w:rPr>
        <w:t>“</w:t>
      </w:r>
      <w:r w:rsidRPr="00554CA5">
        <w:rPr>
          <w:rFonts w:ascii="Bookman Old Style" w:hAnsi="Bookman Old Style"/>
          <w:sz w:val="21"/>
          <w:szCs w:val="21"/>
        </w:rPr>
        <w:t>excellent</w:t>
      </w:r>
      <w:r>
        <w:rPr>
          <w:rFonts w:ascii="Bookman Old Style" w:hAnsi="Bookman Old Style"/>
          <w:sz w:val="21"/>
          <w:szCs w:val="21"/>
        </w:rPr>
        <w:t>”</w:t>
      </w:r>
      <w:r w:rsidRPr="00554CA5">
        <w:rPr>
          <w:rFonts w:ascii="Bookman Old Style" w:hAnsi="Bookman Old Style"/>
          <w:sz w:val="21"/>
          <w:szCs w:val="21"/>
        </w:rPr>
        <w:t xml:space="preserve"> or </w:t>
      </w:r>
      <w:r>
        <w:rPr>
          <w:rFonts w:ascii="Bookman Old Style" w:hAnsi="Bookman Old Style"/>
          <w:sz w:val="21"/>
          <w:szCs w:val="21"/>
        </w:rPr>
        <w:t>“</w:t>
      </w:r>
      <w:r w:rsidRPr="00554CA5">
        <w:rPr>
          <w:rFonts w:ascii="Bookman Old Style" w:hAnsi="Bookman Old Style"/>
          <w:sz w:val="21"/>
          <w:szCs w:val="21"/>
        </w:rPr>
        <w:t>good.</w:t>
      </w:r>
      <w:r>
        <w:rPr>
          <w:rFonts w:ascii="Bookman Old Style" w:hAnsi="Bookman Old Style"/>
          <w:sz w:val="21"/>
          <w:szCs w:val="21"/>
        </w:rPr>
        <w:t>”</w:t>
      </w:r>
      <w:r w:rsidRPr="00554CA5">
        <w:rPr>
          <w:rFonts w:ascii="Bookman Old Style" w:hAnsi="Bookman Old Style"/>
          <w:sz w:val="21"/>
          <w:szCs w:val="21"/>
        </w:rPr>
        <w:t xml:space="preserve">  In both years</w:t>
      </w:r>
      <w:r>
        <w:rPr>
          <w:rFonts w:ascii="Bookman Old Style" w:hAnsi="Bookman Old Style"/>
          <w:sz w:val="21"/>
          <w:szCs w:val="21"/>
        </w:rPr>
        <w:t>, almost 9 in 10 respondents (88</w:t>
      </w:r>
      <w:r w:rsidRPr="00554CA5">
        <w:rPr>
          <w:rFonts w:ascii="Bookman Old Style" w:hAnsi="Bookman Old Style"/>
          <w:sz w:val="21"/>
          <w:szCs w:val="21"/>
        </w:rPr>
        <w:t xml:space="preserve">%) rated computer facilities as </w:t>
      </w:r>
      <w:r>
        <w:rPr>
          <w:rFonts w:ascii="Bookman Old Style" w:hAnsi="Bookman Old Style"/>
          <w:sz w:val="21"/>
          <w:szCs w:val="21"/>
        </w:rPr>
        <w:t>“</w:t>
      </w:r>
      <w:r w:rsidRPr="00554CA5">
        <w:rPr>
          <w:rFonts w:ascii="Bookman Old Style" w:hAnsi="Bookman Old Style"/>
          <w:sz w:val="21"/>
          <w:szCs w:val="21"/>
        </w:rPr>
        <w:t>excellent</w:t>
      </w:r>
      <w:r>
        <w:rPr>
          <w:rFonts w:ascii="Bookman Old Style" w:hAnsi="Bookman Old Style"/>
          <w:sz w:val="21"/>
          <w:szCs w:val="21"/>
        </w:rPr>
        <w:t>”</w:t>
      </w:r>
      <w:r w:rsidRPr="00554CA5">
        <w:rPr>
          <w:rFonts w:ascii="Bookman Old Style" w:hAnsi="Bookman Old Style"/>
          <w:sz w:val="21"/>
          <w:szCs w:val="21"/>
        </w:rPr>
        <w:t xml:space="preserve"> or </w:t>
      </w:r>
      <w:r>
        <w:rPr>
          <w:rFonts w:ascii="Bookman Old Style" w:hAnsi="Bookman Old Style"/>
          <w:sz w:val="21"/>
          <w:szCs w:val="21"/>
        </w:rPr>
        <w:t>“</w:t>
      </w:r>
      <w:r w:rsidRPr="00554CA5">
        <w:rPr>
          <w:rFonts w:ascii="Bookman Old Style" w:hAnsi="Bookman Old Style"/>
          <w:sz w:val="21"/>
          <w:szCs w:val="21"/>
        </w:rPr>
        <w:t>good.</w:t>
      </w:r>
      <w:r>
        <w:rPr>
          <w:rFonts w:ascii="Bookman Old Style" w:hAnsi="Bookman Old Style"/>
          <w:sz w:val="21"/>
          <w:szCs w:val="21"/>
        </w:rPr>
        <w:t>”</w:t>
      </w:r>
      <w:r w:rsidRPr="00554CA5">
        <w:rPr>
          <w:rFonts w:ascii="Bookman Old Style" w:hAnsi="Bookman Old Style"/>
          <w:sz w:val="21"/>
          <w:szCs w:val="21"/>
        </w:rPr>
        <w:t xml:space="preserve">  </w:t>
      </w:r>
      <w:r>
        <w:rPr>
          <w:rFonts w:ascii="Bookman Old Style" w:hAnsi="Bookman Old Style"/>
          <w:sz w:val="21"/>
          <w:szCs w:val="21"/>
        </w:rPr>
        <w:t>Forty-three percent of</w:t>
      </w:r>
      <w:r w:rsidRPr="00554CA5">
        <w:rPr>
          <w:rFonts w:ascii="Bookman Old Style" w:hAnsi="Bookman Old Style"/>
          <w:sz w:val="21"/>
          <w:szCs w:val="21"/>
        </w:rPr>
        <w:t xml:space="preserve"> </w:t>
      </w:r>
      <w:r>
        <w:rPr>
          <w:rFonts w:ascii="Bookman Old Style" w:hAnsi="Bookman Old Style"/>
          <w:sz w:val="21"/>
          <w:szCs w:val="21"/>
        </w:rPr>
        <w:t xml:space="preserve">respondents </w:t>
      </w:r>
      <w:r w:rsidRPr="00554CA5">
        <w:rPr>
          <w:rFonts w:ascii="Bookman Old Style" w:hAnsi="Bookman Old Style"/>
          <w:sz w:val="21"/>
          <w:szCs w:val="21"/>
        </w:rPr>
        <w:t xml:space="preserve">rated housing facilities </w:t>
      </w:r>
      <w:r>
        <w:rPr>
          <w:rFonts w:ascii="Bookman Old Style" w:hAnsi="Bookman Old Style"/>
          <w:sz w:val="21"/>
          <w:szCs w:val="21"/>
        </w:rPr>
        <w:t>favorably, compared with 40% of 2009 graduating seniors.</w:t>
      </w:r>
    </w:p>
    <w:p w:rsidR="0047217D" w:rsidRDefault="0047217D" w:rsidP="00554CA5">
      <w:pPr>
        <w:spacing w:after="0"/>
        <w:ind w:left="720"/>
        <w:rPr>
          <w:rFonts w:ascii="Bookman Old Style" w:hAnsi="Bookman Old Style"/>
          <w:sz w:val="21"/>
          <w:szCs w:val="21"/>
        </w:rPr>
      </w:pPr>
      <w:r w:rsidRPr="00554CA5">
        <w:rPr>
          <w:rFonts w:ascii="Bookman Old Style" w:hAnsi="Bookman Old Style"/>
          <w:sz w:val="21"/>
          <w:szCs w:val="21"/>
        </w:rPr>
        <w:t xml:space="preserve"> </w:t>
      </w:r>
    </w:p>
    <w:p w:rsidR="0047217D" w:rsidRPr="0010564A" w:rsidRDefault="0047217D" w:rsidP="007B1C7A">
      <w:pPr>
        <w:numPr>
          <w:ilvl w:val="0"/>
          <w:numId w:val="1"/>
        </w:numPr>
        <w:spacing w:after="0"/>
        <w:rPr>
          <w:rFonts w:ascii="Bookman Old Style" w:hAnsi="Bookman Old Style"/>
          <w:sz w:val="21"/>
          <w:szCs w:val="21"/>
        </w:rPr>
      </w:pPr>
      <w:r w:rsidRPr="007B1C7A">
        <w:rPr>
          <w:rFonts w:ascii="Bookman Old Style" w:hAnsi="Bookman Old Style"/>
          <w:sz w:val="21"/>
          <w:szCs w:val="21"/>
        </w:rPr>
        <w:t>An overwhelming majority</w:t>
      </w:r>
      <w:r>
        <w:rPr>
          <w:rFonts w:ascii="Bookman Old Style" w:hAnsi="Bookman Old Style"/>
          <w:sz w:val="21"/>
          <w:szCs w:val="21"/>
        </w:rPr>
        <w:t xml:space="preserve"> of 2010 respondents (90%), compared to 86% of 2009 graduating seniors, rated </w:t>
      </w:r>
      <w:r w:rsidRPr="007B1C7A">
        <w:rPr>
          <w:rFonts w:ascii="Bookman Old Style" w:hAnsi="Bookman Old Style"/>
          <w:sz w:val="21"/>
          <w:szCs w:val="21"/>
        </w:rPr>
        <w:t xml:space="preserve">practical relevance of course content </w:t>
      </w:r>
      <w:r>
        <w:rPr>
          <w:rFonts w:ascii="Bookman Old Style" w:hAnsi="Bookman Old Style"/>
          <w:sz w:val="21"/>
          <w:szCs w:val="21"/>
        </w:rPr>
        <w:t>in their department</w:t>
      </w:r>
      <w:r w:rsidRPr="007B1C7A">
        <w:rPr>
          <w:rFonts w:ascii="Bookman Old Style" w:hAnsi="Bookman Old Style"/>
          <w:sz w:val="21"/>
          <w:szCs w:val="21"/>
        </w:rPr>
        <w:t xml:space="preserve"> as </w:t>
      </w:r>
      <w:r>
        <w:rPr>
          <w:rFonts w:ascii="Bookman Old Style" w:hAnsi="Bookman Old Style"/>
          <w:sz w:val="21"/>
          <w:szCs w:val="21"/>
        </w:rPr>
        <w:t xml:space="preserve">“excellent” or “good.”  Eighty-seven percent </w:t>
      </w:r>
      <w:r w:rsidRPr="007B1C7A">
        <w:rPr>
          <w:rFonts w:ascii="Bookman Old Style" w:hAnsi="Bookman Old Style"/>
          <w:sz w:val="21"/>
          <w:szCs w:val="21"/>
        </w:rPr>
        <w:t xml:space="preserve">rated </w:t>
      </w:r>
      <w:r>
        <w:rPr>
          <w:rFonts w:ascii="Bookman Old Style" w:hAnsi="Bookman Old Style"/>
          <w:sz w:val="21"/>
          <w:szCs w:val="21"/>
        </w:rPr>
        <w:t>quality of instruction</w:t>
      </w:r>
      <w:r w:rsidRPr="007B1C7A">
        <w:rPr>
          <w:rFonts w:ascii="Bookman Old Style" w:hAnsi="Bookman Old Style"/>
          <w:sz w:val="21"/>
          <w:szCs w:val="21"/>
        </w:rPr>
        <w:t xml:space="preserve"> as </w:t>
      </w:r>
      <w:r>
        <w:rPr>
          <w:rFonts w:ascii="Bookman Old Style" w:hAnsi="Bookman Old Style"/>
          <w:sz w:val="21"/>
          <w:szCs w:val="21"/>
        </w:rPr>
        <w:t>“</w:t>
      </w:r>
      <w:r w:rsidRPr="007B1C7A">
        <w:rPr>
          <w:rFonts w:ascii="Bookman Old Style" w:hAnsi="Bookman Old Style"/>
          <w:sz w:val="21"/>
          <w:szCs w:val="21"/>
        </w:rPr>
        <w:t>excellent</w:t>
      </w:r>
      <w:r>
        <w:rPr>
          <w:rFonts w:ascii="Bookman Old Style" w:hAnsi="Bookman Old Style"/>
          <w:sz w:val="21"/>
          <w:szCs w:val="21"/>
        </w:rPr>
        <w:t>”</w:t>
      </w:r>
      <w:r w:rsidRPr="007B1C7A">
        <w:rPr>
          <w:rFonts w:ascii="Bookman Old Style" w:hAnsi="Bookman Old Style"/>
          <w:sz w:val="21"/>
          <w:szCs w:val="21"/>
        </w:rPr>
        <w:t xml:space="preserve"> or </w:t>
      </w:r>
      <w:r>
        <w:rPr>
          <w:rFonts w:ascii="Bookman Old Style" w:hAnsi="Bookman Old Style"/>
          <w:sz w:val="21"/>
          <w:szCs w:val="21"/>
        </w:rPr>
        <w:t xml:space="preserve">“good.” Eighty-seven percent of graduating seniors </w:t>
      </w:r>
      <w:r w:rsidRPr="0010564A">
        <w:rPr>
          <w:rFonts w:ascii="Bookman Old Style" w:hAnsi="Bookman Old Style"/>
          <w:sz w:val="21"/>
          <w:szCs w:val="21"/>
        </w:rPr>
        <w:t>rated variety of instructional methods favorably; faculty-student interactions</w:t>
      </w:r>
      <w:r>
        <w:rPr>
          <w:rFonts w:ascii="Bookman Old Style" w:hAnsi="Bookman Old Style"/>
          <w:sz w:val="21"/>
          <w:szCs w:val="21"/>
        </w:rPr>
        <w:t xml:space="preserve"> (88%), student-students interaction (91%),</w:t>
      </w:r>
      <w:r w:rsidRPr="0010564A">
        <w:rPr>
          <w:rFonts w:ascii="Bookman Old Style" w:hAnsi="Bookman Old Style"/>
          <w:sz w:val="21"/>
          <w:szCs w:val="21"/>
        </w:rPr>
        <w:t xml:space="preserve"> </w:t>
      </w:r>
      <w:r w:rsidRPr="00F005BE">
        <w:rPr>
          <w:rFonts w:ascii="Bookman Old Style" w:hAnsi="Bookman Old Style"/>
          <w:sz w:val="21"/>
          <w:szCs w:val="21"/>
        </w:rPr>
        <w:t>and</w:t>
      </w:r>
      <w:r w:rsidRPr="0010564A">
        <w:rPr>
          <w:rFonts w:ascii="Bookman Old Style" w:hAnsi="Bookman Old Style"/>
          <w:b/>
          <w:i/>
          <w:sz w:val="21"/>
          <w:szCs w:val="21"/>
        </w:rPr>
        <w:t xml:space="preserve"> </w:t>
      </w:r>
      <w:r w:rsidRPr="0010564A">
        <w:rPr>
          <w:rFonts w:ascii="Bookman Old Style" w:hAnsi="Bookman Old Style"/>
          <w:sz w:val="21"/>
          <w:szCs w:val="21"/>
        </w:rPr>
        <w:t>75% rated the</w:t>
      </w:r>
      <w:r w:rsidRPr="0010564A">
        <w:rPr>
          <w:rFonts w:ascii="Bookman Old Style" w:hAnsi="Bookman Old Style"/>
          <w:i/>
          <w:sz w:val="21"/>
          <w:szCs w:val="21"/>
        </w:rPr>
        <w:t xml:space="preserve"> </w:t>
      </w:r>
      <w:r w:rsidRPr="0010564A">
        <w:rPr>
          <w:rFonts w:ascii="Bookman Old Style" w:hAnsi="Bookman Old Style"/>
          <w:sz w:val="21"/>
          <w:szCs w:val="21"/>
        </w:rPr>
        <w:t>availability of required courses (including core courses) in their</w:t>
      </w:r>
      <w:r w:rsidRPr="0010564A">
        <w:rPr>
          <w:rFonts w:ascii="Bookman Old Style" w:hAnsi="Bookman Old Style"/>
          <w:i/>
          <w:sz w:val="21"/>
          <w:szCs w:val="21"/>
        </w:rPr>
        <w:t xml:space="preserve"> </w:t>
      </w:r>
      <w:r w:rsidRPr="0010564A">
        <w:rPr>
          <w:rFonts w:ascii="Bookman Old Style" w:hAnsi="Bookman Old Style"/>
          <w:sz w:val="21"/>
          <w:szCs w:val="21"/>
        </w:rPr>
        <w:t xml:space="preserve">department as “excellent” or “good.” </w:t>
      </w:r>
    </w:p>
    <w:p w:rsidR="0047217D" w:rsidRDefault="0047217D" w:rsidP="00CF62BD">
      <w:pPr>
        <w:spacing w:after="0"/>
        <w:ind w:left="720"/>
        <w:rPr>
          <w:rFonts w:ascii="Bookman Old Style" w:hAnsi="Bookman Old Style"/>
          <w:sz w:val="21"/>
          <w:szCs w:val="21"/>
        </w:rPr>
      </w:pPr>
    </w:p>
    <w:p w:rsidR="0047217D" w:rsidRPr="00984826" w:rsidRDefault="0047217D" w:rsidP="00DF012E">
      <w:pPr>
        <w:spacing w:after="0"/>
        <w:ind w:left="360"/>
        <w:rPr>
          <w:rFonts w:ascii="Bookman Old Style" w:hAnsi="Bookman Old Style"/>
          <w:b/>
          <w:color w:val="FF0000"/>
          <w:sz w:val="21"/>
          <w:szCs w:val="21"/>
        </w:rPr>
      </w:pPr>
      <w:r>
        <w:rPr>
          <w:rFonts w:ascii="Bookman Old Style" w:hAnsi="Bookman Old Style"/>
          <w:b/>
          <w:color w:val="FF0000"/>
          <w:sz w:val="21"/>
          <w:szCs w:val="21"/>
        </w:rPr>
        <w:t xml:space="preserve">Evaluation of Student </w:t>
      </w:r>
      <w:r w:rsidRPr="00984826">
        <w:rPr>
          <w:rFonts w:ascii="Bookman Old Style" w:hAnsi="Bookman Old Style"/>
          <w:b/>
          <w:color w:val="FF0000"/>
          <w:sz w:val="21"/>
          <w:szCs w:val="21"/>
        </w:rPr>
        <w:t>Support Services</w:t>
      </w:r>
    </w:p>
    <w:p w:rsidR="0047217D" w:rsidRPr="00DF012E" w:rsidRDefault="0047217D" w:rsidP="00DF012E">
      <w:pPr>
        <w:spacing w:after="0"/>
        <w:ind w:left="360"/>
        <w:rPr>
          <w:rFonts w:ascii="Bookman Old Style" w:hAnsi="Bookman Old Style"/>
          <w:color w:val="FF0000"/>
          <w:sz w:val="21"/>
          <w:szCs w:val="21"/>
        </w:rPr>
      </w:pPr>
    </w:p>
    <w:p w:rsidR="0047217D" w:rsidRPr="0010564A" w:rsidRDefault="0047217D" w:rsidP="00D3022E">
      <w:pPr>
        <w:pStyle w:val="ListParagraph"/>
        <w:numPr>
          <w:ilvl w:val="0"/>
          <w:numId w:val="2"/>
        </w:numPr>
        <w:spacing w:after="0"/>
        <w:ind w:left="720"/>
        <w:rPr>
          <w:rFonts w:ascii="Bookman Old Style" w:hAnsi="Bookman Old Style"/>
          <w:sz w:val="21"/>
          <w:szCs w:val="21"/>
        </w:rPr>
      </w:pPr>
      <w:r>
        <w:rPr>
          <w:rFonts w:ascii="Bookman Old Style" w:hAnsi="Bookman Old Style"/>
          <w:sz w:val="21"/>
          <w:szCs w:val="21"/>
        </w:rPr>
        <w:t>R</w:t>
      </w:r>
      <w:r w:rsidRPr="00645DE0">
        <w:rPr>
          <w:rFonts w:ascii="Bookman Old Style" w:hAnsi="Bookman Old Style"/>
          <w:sz w:val="21"/>
          <w:szCs w:val="21"/>
        </w:rPr>
        <w:t>espondents were asked to rate their level of satisfaction with the services provided by the universi</w:t>
      </w:r>
      <w:r>
        <w:rPr>
          <w:rFonts w:ascii="Bookman Old Style" w:hAnsi="Bookman Old Style"/>
          <w:sz w:val="21"/>
          <w:szCs w:val="21"/>
        </w:rPr>
        <w:t>ty library. Consistent with 2009</w:t>
      </w:r>
      <w:r w:rsidRPr="00645DE0">
        <w:rPr>
          <w:rFonts w:ascii="Bookman Old Style" w:hAnsi="Bookman Old Style"/>
          <w:sz w:val="21"/>
          <w:szCs w:val="21"/>
        </w:rPr>
        <w:t xml:space="preserve"> Senior Exit </w:t>
      </w:r>
      <w:r>
        <w:rPr>
          <w:rFonts w:ascii="Bookman Old Style" w:hAnsi="Bookman Old Style"/>
          <w:sz w:val="21"/>
          <w:szCs w:val="21"/>
        </w:rPr>
        <w:t>S</w:t>
      </w:r>
      <w:r w:rsidRPr="00645DE0">
        <w:rPr>
          <w:rFonts w:ascii="Bookman Old Style" w:hAnsi="Bookman Old Style"/>
          <w:sz w:val="21"/>
          <w:szCs w:val="21"/>
        </w:rPr>
        <w:t>urvey results, t</w:t>
      </w:r>
      <w:r>
        <w:rPr>
          <w:rFonts w:ascii="Bookman Old Style" w:hAnsi="Bookman Old Style"/>
          <w:sz w:val="21"/>
          <w:szCs w:val="21"/>
        </w:rPr>
        <w:t>he overwhelming majority of 2010</w:t>
      </w:r>
      <w:r w:rsidRPr="00645DE0">
        <w:rPr>
          <w:rFonts w:ascii="Bookman Old Style" w:hAnsi="Bookman Old Style"/>
          <w:sz w:val="21"/>
          <w:szCs w:val="21"/>
        </w:rPr>
        <w:t xml:space="preserve"> graduating seniors (86%) indicated that they were “very satisfied” or “satisfied” with the </w:t>
      </w:r>
      <w:r w:rsidRPr="0010564A">
        <w:rPr>
          <w:rFonts w:ascii="Bookman Old Style" w:hAnsi="Bookman Old Style"/>
          <w:sz w:val="21"/>
          <w:szCs w:val="21"/>
        </w:rPr>
        <w:t>quality of library services overall; library services’ staff responsiveness (81%); the hours of operation (83%); training to use the library (69%)</w:t>
      </w:r>
      <w:r>
        <w:rPr>
          <w:rFonts w:ascii="Bookman Old Style" w:hAnsi="Bookman Old Style"/>
          <w:sz w:val="21"/>
          <w:szCs w:val="21"/>
        </w:rPr>
        <w:t>;</w:t>
      </w:r>
      <w:r w:rsidRPr="0010564A">
        <w:rPr>
          <w:rFonts w:ascii="Bookman Old Style" w:hAnsi="Bookman Old Style"/>
          <w:sz w:val="21"/>
          <w:szCs w:val="21"/>
        </w:rPr>
        <w:t xml:space="preserve"> and the library facilities (93%).</w:t>
      </w:r>
    </w:p>
    <w:p w:rsidR="0047217D" w:rsidRDefault="0047217D" w:rsidP="00645DE0">
      <w:pPr>
        <w:pStyle w:val="ListParagraph"/>
        <w:spacing w:after="0"/>
        <w:rPr>
          <w:rFonts w:ascii="Bookman Old Style" w:hAnsi="Bookman Old Style"/>
          <w:sz w:val="21"/>
          <w:szCs w:val="21"/>
        </w:rPr>
      </w:pPr>
      <w:r w:rsidRPr="00645DE0">
        <w:rPr>
          <w:rFonts w:ascii="Bookman Old Style" w:hAnsi="Bookman Old Style"/>
          <w:sz w:val="21"/>
          <w:szCs w:val="21"/>
        </w:rPr>
        <w:t xml:space="preserve"> </w:t>
      </w:r>
    </w:p>
    <w:p w:rsidR="0047217D" w:rsidRPr="0010564A" w:rsidRDefault="0047217D" w:rsidP="00BE03E1">
      <w:pPr>
        <w:pStyle w:val="ListParagraph"/>
        <w:numPr>
          <w:ilvl w:val="0"/>
          <w:numId w:val="2"/>
        </w:numPr>
        <w:spacing w:after="0"/>
        <w:ind w:left="720"/>
        <w:rPr>
          <w:rFonts w:ascii="Bookman Old Style" w:hAnsi="Bookman Old Style"/>
          <w:sz w:val="21"/>
          <w:szCs w:val="21"/>
        </w:rPr>
      </w:pPr>
      <w:r w:rsidRPr="0010564A">
        <w:rPr>
          <w:rFonts w:ascii="Bookman Old Style" w:hAnsi="Bookman Old Style"/>
          <w:sz w:val="21"/>
          <w:szCs w:val="21"/>
        </w:rPr>
        <w:t xml:space="preserve">Five questions were included in the student support services section of the survey instrument to </w:t>
      </w:r>
      <w:r>
        <w:rPr>
          <w:rFonts w:ascii="Bookman Old Style" w:hAnsi="Bookman Old Style"/>
          <w:sz w:val="21"/>
          <w:szCs w:val="21"/>
        </w:rPr>
        <w:t>assess</w:t>
      </w:r>
      <w:r w:rsidRPr="0010564A">
        <w:rPr>
          <w:rFonts w:ascii="Bookman Old Style" w:hAnsi="Bookman Old Style"/>
          <w:sz w:val="21"/>
          <w:szCs w:val="21"/>
        </w:rPr>
        <w:t xml:space="preserve"> students’ level of satisfaction with academic advising at the university. Seventy-two percent </w:t>
      </w:r>
      <w:r>
        <w:rPr>
          <w:rFonts w:ascii="Bookman Old Style" w:hAnsi="Bookman Old Style"/>
          <w:sz w:val="21"/>
          <w:szCs w:val="21"/>
        </w:rPr>
        <w:t xml:space="preserve">of </w:t>
      </w:r>
      <w:r w:rsidRPr="0010564A">
        <w:rPr>
          <w:rFonts w:ascii="Bookman Old Style" w:hAnsi="Bookman Old Style"/>
          <w:sz w:val="21"/>
          <w:szCs w:val="21"/>
        </w:rPr>
        <w:t>2010 graduating seniors were “very satisfied” or “satisfied” with academic advising services overall, an increase of 6% from 2009. The proportion of graduating senior who were “very satisfied or “satisfied” with  access to advis</w:t>
      </w:r>
      <w:r>
        <w:rPr>
          <w:rFonts w:ascii="Bookman Old Style" w:hAnsi="Bookman Old Style"/>
          <w:sz w:val="21"/>
          <w:szCs w:val="21"/>
        </w:rPr>
        <w:t>ing</w:t>
      </w:r>
      <w:r w:rsidRPr="0010564A">
        <w:rPr>
          <w:rFonts w:ascii="Bookman Old Style" w:hAnsi="Bookman Old Style"/>
          <w:sz w:val="21"/>
          <w:szCs w:val="21"/>
        </w:rPr>
        <w:t xml:space="preserve"> increased from 73% in 2009 to 77% in 2010. In</w:t>
      </w:r>
      <w:r w:rsidRPr="0010564A">
        <w:rPr>
          <w:rFonts w:ascii="Bookman Old Style" w:hAnsi="Bookman Old Style"/>
          <w:i/>
          <w:sz w:val="21"/>
          <w:szCs w:val="21"/>
        </w:rPr>
        <w:t xml:space="preserve"> </w:t>
      </w:r>
      <w:r w:rsidRPr="00F005BE">
        <w:rPr>
          <w:rFonts w:ascii="Bookman Old Style" w:hAnsi="Bookman Old Style"/>
          <w:sz w:val="21"/>
          <w:szCs w:val="21"/>
        </w:rPr>
        <w:t>2010</w:t>
      </w:r>
      <w:r w:rsidRPr="0010564A">
        <w:rPr>
          <w:rFonts w:ascii="Bookman Old Style" w:hAnsi="Bookman Old Style"/>
          <w:i/>
          <w:sz w:val="21"/>
          <w:szCs w:val="21"/>
        </w:rPr>
        <w:t xml:space="preserve">, </w:t>
      </w:r>
      <w:r w:rsidRPr="0010564A">
        <w:rPr>
          <w:rFonts w:ascii="Bookman Old Style" w:hAnsi="Bookman Old Style"/>
          <w:sz w:val="21"/>
          <w:szCs w:val="21"/>
        </w:rPr>
        <w:t>72% of graduating seniors were “very satisfied” or “satisfied” with the amount of time with advis</w:t>
      </w:r>
      <w:r>
        <w:rPr>
          <w:rFonts w:ascii="Bookman Old Style" w:hAnsi="Bookman Old Style"/>
          <w:sz w:val="21"/>
          <w:szCs w:val="21"/>
        </w:rPr>
        <w:t>e</w:t>
      </w:r>
      <w:r w:rsidRPr="0010564A">
        <w:rPr>
          <w:rFonts w:ascii="Bookman Old Style" w:hAnsi="Bookman Old Style"/>
          <w:sz w:val="21"/>
          <w:szCs w:val="21"/>
        </w:rPr>
        <w:t>r</w:t>
      </w:r>
      <w:r>
        <w:rPr>
          <w:rFonts w:ascii="Bookman Old Style" w:hAnsi="Bookman Old Style"/>
          <w:sz w:val="21"/>
          <w:szCs w:val="21"/>
        </w:rPr>
        <w:t>s</w:t>
      </w:r>
      <w:r w:rsidRPr="0010564A">
        <w:rPr>
          <w:rFonts w:ascii="Bookman Old Style" w:hAnsi="Bookman Old Style"/>
          <w:sz w:val="21"/>
          <w:szCs w:val="21"/>
        </w:rPr>
        <w:t>, an increase of 3% from 2009.</w:t>
      </w:r>
      <w:r w:rsidRPr="0010564A">
        <w:rPr>
          <w:rFonts w:ascii="Bookman Old Style" w:hAnsi="Bookman Old Style"/>
          <w:i/>
          <w:sz w:val="21"/>
          <w:szCs w:val="21"/>
        </w:rPr>
        <w:t xml:space="preserve"> </w:t>
      </w:r>
      <w:r w:rsidRPr="0010564A">
        <w:rPr>
          <w:rFonts w:ascii="Bookman Old Style" w:hAnsi="Bookman Old Style"/>
          <w:sz w:val="21"/>
          <w:szCs w:val="21"/>
        </w:rPr>
        <w:t xml:space="preserve">Respondents’ </w:t>
      </w:r>
      <w:r>
        <w:rPr>
          <w:rFonts w:ascii="Bookman Old Style" w:hAnsi="Bookman Old Style"/>
          <w:sz w:val="21"/>
          <w:szCs w:val="21"/>
        </w:rPr>
        <w:t xml:space="preserve">level of </w:t>
      </w:r>
      <w:r w:rsidRPr="0010564A">
        <w:rPr>
          <w:rFonts w:ascii="Bookman Old Style" w:hAnsi="Bookman Old Style"/>
          <w:sz w:val="21"/>
          <w:szCs w:val="21"/>
        </w:rPr>
        <w:t xml:space="preserve">satisfaction with accurate information about degree requirements and course sequencing from academic advising is increasing steadily, now at 71%.  </w:t>
      </w:r>
    </w:p>
    <w:p w:rsidR="0047217D" w:rsidRPr="0010564A" w:rsidRDefault="0047217D" w:rsidP="0010564A">
      <w:pPr>
        <w:pStyle w:val="ListParagraph"/>
        <w:spacing w:after="0"/>
        <w:rPr>
          <w:rFonts w:ascii="Bookman Old Style" w:hAnsi="Bookman Old Style"/>
          <w:sz w:val="21"/>
          <w:szCs w:val="21"/>
        </w:rPr>
      </w:pPr>
    </w:p>
    <w:p w:rsidR="0047217D" w:rsidRDefault="0047217D" w:rsidP="00C95D7E">
      <w:pPr>
        <w:pStyle w:val="ListParagraph"/>
        <w:numPr>
          <w:ilvl w:val="0"/>
          <w:numId w:val="2"/>
        </w:numPr>
        <w:spacing w:after="0"/>
        <w:ind w:left="720"/>
        <w:rPr>
          <w:rFonts w:ascii="Bookman Old Style" w:hAnsi="Bookman Old Style"/>
          <w:sz w:val="21"/>
          <w:szCs w:val="21"/>
        </w:rPr>
      </w:pPr>
      <w:r w:rsidRPr="0010564A">
        <w:rPr>
          <w:rFonts w:ascii="Bookman Old Style" w:hAnsi="Bookman Old Style"/>
          <w:sz w:val="21"/>
          <w:szCs w:val="21"/>
        </w:rPr>
        <w:t>Five items were included in the survey to gauge students’ level of satisfaction with the employment</w:t>
      </w:r>
      <w:r>
        <w:rPr>
          <w:rFonts w:ascii="Bookman Old Style" w:hAnsi="Bookman Old Style"/>
          <w:sz w:val="21"/>
          <w:szCs w:val="21"/>
        </w:rPr>
        <w:t xml:space="preserve"> search assistance program provided by the university. A slightly higher percentage of 2010 graduating seniors (73%) were “very satisfied” or “satisfied” with </w:t>
      </w:r>
      <w:r w:rsidRPr="0010564A">
        <w:rPr>
          <w:rFonts w:ascii="Bookman Old Style" w:hAnsi="Bookman Old Style"/>
          <w:sz w:val="21"/>
          <w:szCs w:val="21"/>
        </w:rPr>
        <w:t>career services overall</w:t>
      </w:r>
      <w:r>
        <w:rPr>
          <w:rFonts w:ascii="Bookman Old Style" w:hAnsi="Bookman Old Style"/>
          <w:sz w:val="21"/>
          <w:szCs w:val="21"/>
        </w:rPr>
        <w:t>, compared to (70%) in 2009. Compared with the graduating seniors in other colleges, respondents in the Harmon College of Business Administration were more likely to state that they were satisfied with career services overall, followed by students in the College of Education.</w:t>
      </w:r>
    </w:p>
    <w:p w:rsidR="0047217D" w:rsidRDefault="0047217D" w:rsidP="00B50449">
      <w:pPr>
        <w:pStyle w:val="ListParagraph"/>
        <w:rPr>
          <w:rFonts w:ascii="Bookman Old Style" w:hAnsi="Bookman Old Style"/>
          <w:sz w:val="21"/>
          <w:szCs w:val="21"/>
        </w:rPr>
      </w:pPr>
    </w:p>
    <w:p w:rsidR="0047217D" w:rsidRPr="006708D1" w:rsidRDefault="0047217D" w:rsidP="00C95D7E">
      <w:pPr>
        <w:pStyle w:val="ListParagraph"/>
        <w:numPr>
          <w:ilvl w:val="0"/>
          <w:numId w:val="2"/>
        </w:numPr>
        <w:spacing w:after="0"/>
        <w:ind w:left="720"/>
        <w:rPr>
          <w:rFonts w:ascii="Bookman Old Style" w:hAnsi="Bookman Old Style"/>
          <w:sz w:val="21"/>
          <w:szCs w:val="21"/>
        </w:rPr>
      </w:pPr>
      <w:r>
        <w:rPr>
          <w:rFonts w:ascii="Bookman Old Style" w:hAnsi="Bookman Old Style"/>
          <w:sz w:val="21"/>
          <w:szCs w:val="21"/>
        </w:rPr>
        <w:t xml:space="preserve">The last four items on the student support services section of the survey instrument assess respondents’ level of satisfaction with the Office of Student Financial Services. Nearly two-thirds (65%) of graduating seniors were “very satisfied” or “satisfied” with </w:t>
      </w:r>
      <w:r w:rsidRPr="00F005BE">
        <w:rPr>
          <w:rFonts w:ascii="Bookman Old Style" w:hAnsi="Bookman Old Style"/>
          <w:sz w:val="21"/>
          <w:szCs w:val="21"/>
        </w:rPr>
        <w:t>student financial services overall</w:t>
      </w:r>
      <w:r w:rsidRPr="006708D1">
        <w:rPr>
          <w:rFonts w:ascii="Bookman Old Style" w:hAnsi="Bookman Old Style"/>
          <w:i/>
          <w:sz w:val="21"/>
          <w:szCs w:val="21"/>
        </w:rPr>
        <w:t>.</w:t>
      </w:r>
      <w:r>
        <w:rPr>
          <w:rFonts w:ascii="Bookman Old Style" w:hAnsi="Bookman Old Style"/>
          <w:i/>
          <w:sz w:val="21"/>
          <w:szCs w:val="21"/>
        </w:rPr>
        <w:t xml:space="preserve"> </w:t>
      </w:r>
      <w:r>
        <w:rPr>
          <w:rFonts w:ascii="Bookman Old Style" w:hAnsi="Bookman Old Style"/>
          <w:sz w:val="21"/>
          <w:szCs w:val="21"/>
        </w:rPr>
        <w:t xml:space="preserve">Nearly three-fourths (71%) of seniors were satisfied with </w:t>
      </w:r>
      <w:r w:rsidRPr="00F005BE">
        <w:rPr>
          <w:rFonts w:ascii="Bookman Old Style" w:hAnsi="Bookman Old Style"/>
          <w:sz w:val="21"/>
          <w:szCs w:val="21"/>
        </w:rPr>
        <w:t>student financial services’ hours of operation</w:t>
      </w:r>
      <w:r>
        <w:rPr>
          <w:rFonts w:ascii="Bookman Old Style" w:hAnsi="Bookman Old Style"/>
          <w:sz w:val="21"/>
          <w:szCs w:val="21"/>
        </w:rPr>
        <w:t>.</w:t>
      </w:r>
    </w:p>
    <w:p w:rsidR="0047217D" w:rsidRPr="0011441E" w:rsidRDefault="0047217D" w:rsidP="002A1951">
      <w:pPr>
        <w:pStyle w:val="ListParagraph"/>
        <w:spacing w:after="0"/>
        <w:ind w:left="360"/>
        <w:rPr>
          <w:rFonts w:ascii="Bookman Old Style" w:hAnsi="Bookman Old Style"/>
          <w:sz w:val="21"/>
          <w:szCs w:val="21"/>
        </w:rPr>
      </w:pPr>
      <w:r>
        <w:rPr>
          <w:rFonts w:ascii="Bookman Old Style" w:hAnsi="Bookman Old Style"/>
          <w:sz w:val="21"/>
          <w:szCs w:val="21"/>
        </w:rPr>
        <w:t xml:space="preserve">   </w:t>
      </w:r>
    </w:p>
    <w:p w:rsidR="0047217D" w:rsidRDefault="0047217D" w:rsidP="001C4B0B">
      <w:pPr>
        <w:numPr>
          <w:ilvl w:val="0"/>
          <w:numId w:val="1"/>
        </w:numPr>
        <w:spacing w:after="0"/>
        <w:rPr>
          <w:rFonts w:ascii="Bookman Old Style" w:hAnsi="Bookman Old Style"/>
          <w:sz w:val="21"/>
          <w:szCs w:val="21"/>
        </w:rPr>
      </w:pPr>
      <w:r>
        <w:rPr>
          <w:rFonts w:ascii="Bookman Old Style" w:hAnsi="Bookman Old Style"/>
          <w:sz w:val="21"/>
          <w:szCs w:val="21"/>
        </w:rPr>
        <w:t>Graduating seniors</w:t>
      </w:r>
      <w:r w:rsidRPr="0011441E">
        <w:rPr>
          <w:rFonts w:ascii="Bookman Old Style" w:hAnsi="Bookman Old Style"/>
          <w:sz w:val="21"/>
          <w:szCs w:val="21"/>
        </w:rPr>
        <w:t xml:space="preserve"> w</w:t>
      </w:r>
      <w:r>
        <w:rPr>
          <w:rFonts w:ascii="Bookman Old Style" w:hAnsi="Bookman Old Style"/>
          <w:sz w:val="21"/>
          <w:szCs w:val="21"/>
        </w:rPr>
        <w:t xml:space="preserve">ere asked to indicate their levels of satisfaction with some university facilities. Ninety-three percent were “very satisfied” or “satisfied” with computer facilities (88%); </w:t>
      </w:r>
      <w:r w:rsidRPr="00F005BE">
        <w:rPr>
          <w:rFonts w:ascii="Bookman Old Style" w:hAnsi="Bookman Old Style"/>
          <w:sz w:val="21"/>
          <w:szCs w:val="21"/>
        </w:rPr>
        <w:t>study areas</w:t>
      </w:r>
      <w:r>
        <w:rPr>
          <w:rFonts w:ascii="Bookman Old Style" w:hAnsi="Bookman Old Style"/>
          <w:sz w:val="21"/>
          <w:szCs w:val="21"/>
        </w:rPr>
        <w:t xml:space="preserve"> (81%); </w:t>
      </w:r>
      <w:r w:rsidRPr="00F005BE">
        <w:rPr>
          <w:rFonts w:ascii="Bookman Old Style" w:hAnsi="Bookman Old Style"/>
          <w:sz w:val="21"/>
          <w:szCs w:val="21"/>
        </w:rPr>
        <w:t>classrooms</w:t>
      </w:r>
      <w:r>
        <w:rPr>
          <w:rFonts w:ascii="Bookman Old Style" w:hAnsi="Bookman Old Style"/>
          <w:sz w:val="21"/>
          <w:szCs w:val="21"/>
        </w:rPr>
        <w:t xml:space="preserve"> (85%); </w:t>
      </w:r>
      <w:r w:rsidRPr="00F005BE">
        <w:rPr>
          <w:rFonts w:ascii="Bookman Old Style" w:hAnsi="Bookman Old Style"/>
          <w:sz w:val="21"/>
          <w:szCs w:val="21"/>
        </w:rPr>
        <w:t>athletic facilities</w:t>
      </w:r>
      <w:r>
        <w:rPr>
          <w:rFonts w:ascii="Bookman Old Style" w:hAnsi="Bookman Old Style"/>
          <w:sz w:val="21"/>
          <w:szCs w:val="21"/>
        </w:rPr>
        <w:t xml:space="preserve"> (54%); </w:t>
      </w:r>
      <w:r w:rsidRPr="00F005BE">
        <w:rPr>
          <w:rFonts w:ascii="Bookman Old Style" w:hAnsi="Bookman Old Style"/>
          <w:sz w:val="21"/>
          <w:szCs w:val="21"/>
        </w:rPr>
        <w:t>laboratory/instructional equipment</w:t>
      </w:r>
      <w:r>
        <w:rPr>
          <w:rFonts w:ascii="Bookman Old Style" w:hAnsi="Bookman Old Style"/>
          <w:sz w:val="21"/>
          <w:szCs w:val="21"/>
        </w:rPr>
        <w:t xml:space="preserve"> </w:t>
      </w:r>
      <w:r w:rsidRPr="00F005BE">
        <w:rPr>
          <w:rFonts w:ascii="Bookman Old Style" w:hAnsi="Bookman Old Style"/>
          <w:sz w:val="21"/>
          <w:szCs w:val="21"/>
        </w:rPr>
        <w:t>(67%)</w:t>
      </w:r>
      <w:r>
        <w:rPr>
          <w:rFonts w:ascii="Bookman Old Style" w:hAnsi="Bookman Old Style"/>
          <w:sz w:val="21"/>
          <w:szCs w:val="21"/>
        </w:rPr>
        <w:t xml:space="preserve">; </w:t>
      </w:r>
      <w:r w:rsidRPr="00F005BE">
        <w:rPr>
          <w:rFonts w:ascii="Bookman Old Style" w:hAnsi="Bookman Old Style"/>
          <w:sz w:val="21"/>
          <w:szCs w:val="21"/>
        </w:rPr>
        <w:t>recreation</w:t>
      </w:r>
      <w:r>
        <w:rPr>
          <w:rFonts w:ascii="Bookman Old Style" w:hAnsi="Bookman Old Style"/>
          <w:sz w:val="21"/>
          <w:szCs w:val="21"/>
        </w:rPr>
        <w:t xml:space="preserve"> (60%); </w:t>
      </w:r>
      <w:r w:rsidRPr="00F005BE">
        <w:rPr>
          <w:rFonts w:ascii="Bookman Old Style" w:hAnsi="Bookman Old Style"/>
          <w:sz w:val="21"/>
          <w:szCs w:val="21"/>
        </w:rPr>
        <w:t>housing</w:t>
      </w:r>
      <w:r w:rsidRPr="00645DE0">
        <w:rPr>
          <w:rFonts w:ascii="Bookman Old Style" w:hAnsi="Bookman Old Style"/>
          <w:i/>
          <w:sz w:val="21"/>
          <w:szCs w:val="21"/>
        </w:rPr>
        <w:t xml:space="preserve"> </w:t>
      </w:r>
      <w:r>
        <w:rPr>
          <w:rFonts w:ascii="Bookman Old Style" w:hAnsi="Bookman Old Style"/>
          <w:sz w:val="21"/>
          <w:szCs w:val="21"/>
        </w:rPr>
        <w:t xml:space="preserve">(43%) </w:t>
      </w:r>
      <w:r w:rsidRPr="00F005BE">
        <w:rPr>
          <w:rFonts w:ascii="Bookman Old Style" w:hAnsi="Bookman Old Style"/>
          <w:sz w:val="21"/>
          <w:szCs w:val="21"/>
        </w:rPr>
        <w:t>and parking</w:t>
      </w:r>
      <w:r>
        <w:rPr>
          <w:rFonts w:ascii="Bookman Old Style" w:hAnsi="Bookman Old Style"/>
          <w:sz w:val="21"/>
          <w:szCs w:val="21"/>
        </w:rPr>
        <w:t xml:space="preserve"> (36%).  </w:t>
      </w:r>
    </w:p>
    <w:p w:rsidR="0047217D" w:rsidRDefault="0047217D" w:rsidP="00CA712D">
      <w:pPr>
        <w:spacing w:after="0"/>
        <w:ind w:left="720"/>
        <w:rPr>
          <w:rFonts w:ascii="Bookman Old Style" w:hAnsi="Bookman Old Style"/>
          <w:sz w:val="21"/>
          <w:szCs w:val="21"/>
        </w:rPr>
      </w:pPr>
    </w:p>
    <w:p w:rsidR="0047217D" w:rsidRPr="00984826" w:rsidRDefault="0047217D" w:rsidP="00FF798F">
      <w:pPr>
        <w:spacing w:after="0"/>
        <w:ind w:left="360"/>
        <w:rPr>
          <w:rFonts w:ascii="Bookman Old Style" w:hAnsi="Bookman Old Style"/>
          <w:b/>
          <w:color w:val="FF0000"/>
          <w:sz w:val="21"/>
          <w:szCs w:val="21"/>
        </w:rPr>
      </w:pPr>
      <w:r>
        <w:rPr>
          <w:rFonts w:ascii="Bookman Old Style" w:hAnsi="Bookman Old Style"/>
          <w:b/>
          <w:color w:val="FF0000"/>
          <w:sz w:val="21"/>
          <w:szCs w:val="21"/>
        </w:rPr>
        <w:t>Respondents’ Evaluations</w:t>
      </w:r>
      <w:r w:rsidRPr="00984826">
        <w:rPr>
          <w:rFonts w:ascii="Bookman Old Style" w:hAnsi="Bookman Old Style"/>
          <w:b/>
          <w:color w:val="FF0000"/>
          <w:sz w:val="21"/>
          <w:szCs w:val="21"/>
        </w:rPr>
        <w:t xml:space="preserve"> of Faculty</w:t>
      </w:r>
    </w:p>
    <w:p w:rsidR="0047217D" w:rsidRPr="00FF798F" w:rsidRDefault="0047217D" w:rsidP="00FF798F">
      <w:pPr>
        <w:spacing w:after="0"/>
        <w:ind w:left="360"/>
        <w:rPr>
          <w:rFonts w:ascii="Bookman Old Style" w:hAnsi="Bookman Old Style"/>
          <w:color w:val="FF0000"/>
          <w:sz w:val="21"/>
          <w:szCs w:val="21"/>
        </w:rPr>
      </w:pPr>
    </w:p>
    <w:p w:rsidR="0047217D" w:rsidRPr="003247ED" w:rsidRDefault="0047217D" w:rsidP="005615C7">
      <w:pPr>
        <w:numPr>
          <w:ilvl w:val="0"/>
          <w:numId w:val="1"/>
        </w:numPr>
        <w:spacing w:after="0"/>
        <w:rPr>
          <w:rFonts w:ascii="Bookman Old Style" w:hAnsi="Bookman Old Style"/>
          <w:sz w:val="21"/>
          <w:szCs w:val="21"/>
        </w:rPr>
      </w:pPr>
      <w:r w:rsidRPr="003247ED">
        <w:rPr>
          <w:rFonts w:ascii="Bookman Old Style" w:hAnsi="Bookman Old Style"/>
          <w:sz w:val="21"/>
          <w:szCs w:val="21"/>
        </w:rPr>
        <w:t>In general, graduating senio</w:t>
      </w:r>
      <w:r>
        <w:rPr>
          <w:rFonts w:ascii="Bookman Old Style" w:hAnsi="Bookman Old Style"/>
          <w:sz w:val="21"/>
          <w:szCs w:val="21"/>
        </w:rPr>
        <w:t xml:space="preserve">rs were very positive about the contributions of </w:t>
      </w:r>
      <w:r w:rsidRPr="003247ED">
        <w:rPr>
          <w:rFonts w:ascii="Bookman Old Style" w:hAnsi="Bookman Old Style"/>
          <w:sz w:val="21"/>
          <w:szCs w:val="21"/>
        </w:rPr>
        <w:t>faculty</w:t>
      </w:r>
      <w:r>
        <w:rPr>
          <w:rFonts w:ascii="Bookman Old Style" w:hAnsi="Bookman Old Style"/>
          <w:sz w:val="21"/>
          <w:szCs w:val="21"/>
        </w:rPr>
        <w:t xml:space="preserve"> </w:t>
      </w:r>
      <w:r w:rsidRPr="003247ED">
        <w:rPr>
          <w:rFonts w:ascii="Bookman Old Style" w:hAnsi="Bookman Old Style"/>
          <w:sz w:val="21"/>
          <w:szCs w:val="21"/>
        </w:rPr>
        <w:t>in their major</w:t>
      </w:r>
      <w:r>
        <w:rPr>
          <w:rFonts w:ascii="Bookman Old Style" w:hAnsi="Bookman Old Style"/>
          <w:sz w:val="21"/>
          <w:szCs w:val="21"/>
        </w:rPr>
        <w:t xml:space="preserve"> department</w:t>
      </w:r>
      <w:r w:rsidRPr="003247ED">
        <w:rPr>
          <w:rFonts w:ascii="Bookman Old Style" w:hAnsi="Bookman Old Style"/>
          <w:sz w:val="21"/>
          <w:szCs w:val="21"/>
        </w:rPr>
        <w:t xml:space="preserve"> </w:t>
      </w:r>
      <w:r>
        <w:rPr>
          <w:rFonts w:ascii="Bookman Old Style" w:hAnsi="Bookman Old Style"/>
          <w:sz w:val="21"/>
          <w:szCs w:val="21"/>
        </w:rPr>
        <w:t>to</w:t>
      </w:r>
      <w:r w:rsidRPr="003247ED">
        <w:rPr>
          <w:rFonts w:ascii="Bookman Old Style" w:hAnsi="Bookman Old Style"/>
          <w:sz w:val="21"/>
          <w:szCs w:val="21"/>
        </w:rPr>
        <w:t xml:space="preserve"> most of the items listed o</w:t>
      </w:r>
      <w:r>
        <w:rPr>
          <w:rFonts w:ascii="Bookman Old Style" w:hAnsi="Bookman Old Style"/>
          <w:sz w:val="21"/>
          <w:szCs w:val="21"/>
        </w:rPr>
        <w:t>n the questionnaire. H</w:t>
      </w:r>
      <w:r w:rsidRPr="003247ED">
        <w:rPr>
          <w:rFonts w:ascii="Bookman Old Style" w:hAnsi="Bookman Old Style"/>
          <w:sz w:val="21"/>
          <w:szCs w:val="21"/>
        </w:rPr>
        <w:t xml:space="preserve">ighest ratings (“excellent” or “good”) were given to faculty for performing the following tasks: </w:t>
      </w:r>
      <w:r w:rsidRPr="00F005BE">
        <w:rPr>
          <w:rFonts w:ascii="Bookman Old Style" w:hAnsi="Bookman Old Style"/>
          <w:sz w:val="21"/>
          <w:szCs w:val="21"/>
        </w:rPr>
        <w:t>setting high expectations for learning</w:t>
      </w:r>
      <w:r w:rsidRPr="003247ED">
        <w:rPr>
          <w:rFonts w:ascii="Bookman Old Style" w:hAnsi="Bookman Old Style"/>
          <w:sz w:val="21"/>
          <w:szCs w:val="21"/>
        </w:rPr>
        <w:t xml:space="preserve"> </w:t>
      </w:r>
      <w:r w:rsidRPr="00F005BE">
        <w:rPr>
          <w:rFonts w:ascii="Bookman Old Style" w:hAnsi="Bookman Old Style"/>
          <w:sz w:val="21"/>
          <w:szCs w:val="21"/>
        </w:rPr>
        <w:t>(90%); developing opportunities for students to learn cooperatively with fellow students (91%); encouraging students to be active learners (91%)</w:t>
      </w:r>
      <w:r>
        <w:rPr>
          <w:rFonts w:ascii="Bookman Old Style" w:hAnsi="Bookman Old Style"/>
          <w:sz w:val="21"/>
          <w:szCs w:val="21"/>
        </w:rPr>
        <w:t>;</w:t>
      </w:r>
      <w:r w:rsidRPr="00F005BE">
        <w:rPr>
          <w:rFonts w:ascii="Bookman Old Style" w:hAnsi="Bookman Old Style"/>
          <w:sz w:val="21"/>
          <w:szCs w:val="21"/>
        </w:rPr>
        <w:t xml:space="preserve"> encouraging students to devote sufficient time and energy to their coursework (90%)</w:t>
      </w:r>
      <w:r>
        <w:rPr>
          <w:rFonts w:ascii="Bookman Old Style" w:hAnsi="Bookman Old Style"/>
          <w:sz w:val="21"/>
          <w:szCs w:val="21"/>
        </w:rPr>
        <w:t>;</w:t>
      </w:r>
      <w:r w:rsidRPr="00F005BE">
        <w:rPr>
          <w:rFonts w:ascii="Bookman Old Style" w:hAnsi="Bookman Old Style"/>
          <w:sz w:val="21"/>
          <w:szCs w:val="21"/>
        </w:rPr>
        <w:t xml:space="preserve"> orienting students to the major (87%)</w:t>
      </w:r>
      <w:r>
        <w:rPr>
          <w:rFonts w:ascii="Bookman Old Style" w:hAnsi="Bookman Old Style"/>
          <w:sz w:val="21"/>
          <w:szCs w:val="21"/>
        </w:rPr>
        <w:t>;</w:t>
      </w:r>
      <w:r w:rsidRPr="00F005BE">
        <w:rPr>
          <w:rFonts w:ascii="Bookman Old Style" w:hAnsi="Bookman Old Style"/>
          <w:sz w:val="21"/>
          <w:szCs w:val="21"/>
        </w:rPr>
        <w:t xml:space="preserve"> and caring about student academic success and welfare (88%).</w:t>
      </w:r>
    </w:p>
    <w:p w:rsidR="0047217D" w:rsidRPr="003247ED" w:rsidRDefault="0047217D" w:rsidP="003247ED">
      <w:pPr>
        <w:spacing w:after="0"/>
        <w:ind w:left="720"/>
        <w:rPr>
          <w:rFonts w:ascii="Bookman Old Style" w:hAnsi="Bookman Old Style"/>
          <w:sz w:val="21"/>
          <w:szCs w:val="21"/>
        </w:rPr>
      </w:pPr>
    </w:p>
    <w:p w:rsidR="0047217D" w:rsidRDefault="0047217D" w:rsidP="00671199">
      <w:pPr>
        <w:pStyle w:val="ListParagraph"/>
        <w:ind w:left="0"/>
        <w:rPr>
          <w:rFonts w:ascii="Bookman Old Style" w:hAnsi="Bookman Old Style"/>
          <w:b/>
          <w:color w:val="FF0000"/>
          <w:sz w:val="21"/>
          <w:szCs w:val="21"/>
        </w:rPr>
      </w:pPr>
      <w:r w:rsidRPr="00984826">
        <w:rPr>
          <w:rFonts w:ascii="Bookman Old Style" w:hAnsi="Bookman Old Style"/>
          <w:b/>
          <w:color w:val="FF0000"/>
          <w:sz w:val="21"/>
          <w:szCs w:val="21"/>
        </w:rPr>
        <w:t>Overall Assessment of UCM</w:t>
      </w:r>
    </w:p>
    <w:p w:rsidR="0047217D" w:rsidRPr="00F005BE" w:rsidRDefault="0047217D" w:rsidP="001504F9">
      <w:pPr>
        <w:numPr>
          <w:ilvl w:val="0"/>
          <w:numId w:val="1"/>
        </w:numPr>
        <w:spacing w:after="0"/>
        <w:ind w:right="-630"/>
        <w:rPr>
          <w:rFonts w:ascii="Bookman Old Style" w:hAnsi="Bookman Old Style"/>
          <w:i/>
          <w:sz w:val="18"/>
          <w:szCs w:val="18"/>
        </w:rPr>
      </w:pPr>
      <w:r w:rsidRPr="00F005BE">
        <w:rPr>
          <w:rFonts w:ascii="Bookman Old Style" w:hAnsi="Bookman Old Style"/>
          <w:sz w:val="21"/>
          <w:szCs w:val="21"/>
        </w:rPr>
        <w:t>Graduating seniors were asked, “Would you recommend this institution to a friend/family member considering college?” Consistent with 2009, an overwhelming majority of graduating seniors (92%) indicated that they would recommend UCM to a friend/family member considering college. Respondents in the Harmon College of Business Administration (79%)</w:t>
      </w:r>
      <w:r>
        <w:rPr>
          <w:rFonts w:ascii="Bookman Old Style" w:hAnsi="Bookman Old Style"/>
          <w:sz w:val="21"/>
          <w:szCs w:val="21"/>
        </w:rPr>
        <w:t xml:space="preserve"> </w:t>
      </w:r>
      <w:r w:rsidRPr="00F005BE">
        <w:rPr>
          <w:rFonts w:ascii="Bookman Old Style" w:hAnsi="Bookman Old Style"/>
          <w:sz w:val="21"/>
          <w:szCs w:val="21"/>
        </w:rPr>
        <w:t>and the College of Education (78%) were more likely than respondents in the other three colleg</w:t>
      </w:r>
      <w:r>
        <w:rPr>
          <w:rFonts w:ascii="Bookman Old Style" w:hAnsi="Bookman Old Style"/>
          <w:sz w:val="21"/>
          <w:szCs w:val="21"/>
        </w:rPr>
        <w:t xml:space="preserve">es to indicate that they would </w:t>
      </w:r>
      <w:r w:rsidRPr="00F005BE">
        <w:rPr>
          <w:rFonts w:ascii="Bookman Old Style" w:hAnsi="Bookman Old Style"/>
          <w:sz w:val="21"/>
          <w:szCs w:val="21"/>
        </w:rPr>
        <w:t>recommend UCM (without reservation)</w:t>
      </w:r>
      <w:r>
        <w:rPr>
          <w:rFonts w:ascii="Bookman Old Style" w:hAnsi="Bookman Old Style"/>
          <w:sz w:val="21"/>
          <w:szCs w:val="21"/>
        </w:rPr>
        <w:t xml:space="preserve"> </w:t>
      </w:r>
      <w:r w:rsidRPr="00F005BE">
        <w:rPr>
          <w:rFonts w:ascii="Bookman Old Style" w:hAnsi="Bookman Old Style"/>
          <w:sz w:val="21"/>
          <w:szCs w:val="21"/>
        </w:rPr>
        <w:t>to a friend/family member considering college.</w:t>
      </w:r>
    </w:p>
    <w:p w:rsidR="0047217D" w:rsidRDefault="0047217D" w:rsidP="006938C9">
      <w:pPr>
        <w:pStyle w:val="ListParagraph"/>
        <w:rPr>
          <w:rFonts w:ascii="Bookman Old Style" w:hAnsi="Bookman Old Style"/>
          <w:i/>
          <w:sz w:val="18"/>
          <w:szCs w:val="18"/>
        </w:rPr>
      </w:pPr>
    </w:p>
    <w:p w:rsidR="0047217D" w:rsidRDefault="0047217D" w:rsidP="009E181C">
      <w:pPr>
        <w:numPr>
          <w:ilvl w:val="0"/>
          <w:numId w:val="1"/>
        </w:numPr>
        <w:spacing w:after="0"/>
        <w:ind w:right="-630"/>
        <w:rPr>
          <w:rFonts w:ascii="Bookman Old Style" w:hAnsi="Bookman Old Style"/>
          <w:sz w:val="21"/>
          <w:szCs w:val="21"/>
        </w:rPr>
      </w:pPr>
      <w:r>
        <w:rPr>
          <w:rFonts w:ascii="Bookman Old Style" w:hAnsi="Bookman Old Style"/>
          <w:sz w:val="21"/>
          <w:szCs w:val="21"/>
        </w:rPr>
        <w:t>All respondents were asked, “If you could begin again, would you still choose to attend UCM?” A sizable</w:t>
      </w:r>
      <w:r w:rsidRPr="00F561AF">
        <w:rPr>
          <w:rFonts w:ascii="Bookman Old Style" w:hAnsi="Bookman Old Style"/>
          <w:sz w:val="21"/>
          <w:szCs w:val="21"/>
        </w:rPr>
        <w:t xml:space="preserve"> majority of </w:t>
      </w:r>
      <w:r>
        <w:rPr>
          <w:rFonts w:ascii="Bookman Old Style" w:hAnsi="Bookman Old Style"/>
          <w:sz w:val="21"/>
          <w:szCs w:val="21"/>
        </w:rPr>
        <w:t xml:space="preserve">graduating </w:t>
      </w:r>
      <w:r w:rsidRPr="00F561AF">
        <w:rPr>
          <w:rFonts w:ascii="Bookman Old Style" w:hAnsi="Bookman Old Style"/>
          <w:sz w:val="21"/>
          <w:szCs w:val="21"/>
        </w:rPr>
        <w:t xml:space="preserve">seniors </w:t>
      </w:r>
      <w:r>
        <w:rPr>
          <w:rFonts w:ascii="Bookman Old Style" w:hAnsi="Bookman Old Style"/>
          <w:sz w:val="21"/>
          <w:szCs w:val="21"/>
        </w:rPr>
        <w:t>(78%) answered in the affirmative. Compared with the graduating seniors in other colleges, respondents in the College of Education (87%) and Harmon College of Business Administration (80%) were more likely to state that they would still choose to attend UCM if they began again.</w:t>
      </w:r>
    </w:p>
    <w:p w:rsidR="0047217D" w:rsidRDefault="0047217D" w:rsidP="001504F9">
      <w:pPr>
        <w:spacing w:after="0"/>
        <w:ind w:left="720" w:right="-630"/>
        <w:rPr>
          <w:rFonts w:ascii="Bookman Old Style" w:hAnsi="Bookman Old Style"/>
          <w:sz w:val="21"/>
          <w:szCs w:val="21"/>
        </w:rPr>
      </w:pPr>
      <w:r w:rsidRPr="00F561AF">
        <w:rPr>
          <w:rFonts w:ascii="Bookman Old Style" w:hAnsi="Bookman Old Style"/>
          <w:sz w:val="21"/>
          <w:szCs w:val="21"/>
        </w:rPr>
        <w:t xml:space="preserve"> </w:t>
      </w:r>
    </w:p>
    <w:p w:rsidR="0047217D" w:rsidRPr="002C4CD7" w:rsidRDefault="0047217D" w:rsidP="002C4CD7">
      <w:pPr>
        <w:numPr>
          <w:ilvl w:val="0"/>
          <w:numId w:val="1"/>
        </w:numPr>
        <w:spacing w:after="0"/>
        <w:ind w:right="-630"/>
        <w:rPr>
          <w:rFonts w:ascii="Bookman Old Style" w:hAnsi="Bookman Old Style"/>
          <w:b/>
          <w:color w:val="FF0000"/>
          <w:sz w:val="18"/>
          <w:szCs w:val="18"/>
        </w:rPr>
      </w:pPr>
      <w:r w:rsidRPr="002C4CD7">
        <w:rPr>
          <w:rFonts w:ascii="Bookman Old Style" w:hAnsi="Bookman Old Style"/>
          <w:sz w:val="21"/>
          <w:szCs w:val="21"/>
        </w:rPr>
        <w:t xml:space="preserve">Graduating seniors were further asked, “If you could begin again, would you still choose the same major field of study?” </w:t>
      </w:r>
      <w:r>
        <w:rPr>
          <w:rFonts w:ascii="Bookman Old Style" w:hAnsi="Bookman Old Style"/>
          <w:sz w:val="21"/>
          <w:szCs w:val="21"/>
        </w:rPr>
        <w:t>80%</w:t>
      </w:r>
      <w:r w:rsidRPr="002C4CD7">
        <w:rPr>
          <w:rFonts w:ascii="Bookman Old Style" w:hAnsi="Bookman Old Style"/>
          <w:sz w:val="21"/>
          <w:szCs w:val="21"/>
        </w:rPr>
        <w:t xml:space="preserve"> answered in the affirmative</w:t>
      </w:r>
      <w:r>
        <w:rPr>
          <w:rFonts w:ascii="Bookman Old Style" w:hAnsi="Bookman Old Style"/>
          <w:sz w:val="21"/>
          <w:szCs w:val="21"/>
        </w:rPr>
        <w:t xml:space="preserve">. More women (84%) than men (75%) would still choose the same major of study if they began again. Finally, respondents were asked, “What are your immediate employment plans?” Respondents’ opinions varied: </w:t>
      </w:r>
      <w:r w:rsidRPr="00F005BE">
        <w:rPr>
          <w:rFonts w:ascii="Bookman Old Style" w:hAnsi="Bookman Old Style"/>
          <w:sz w:val="21"/>
          <w:szCs w:val="21"/>
        </w:rPr>
        <w:t>continue in the job obtained before graduation (13%)</w:t>
      </w:r>
      <w:r>
        <w:rPr>
          <w:rFonts w:ascii="Bookman Old Style" w:hAnsi="Bookman Old Style"/>
          <w:sz w:val="21"/>
          <w:szCs w:val="21"/>
        </w:rPr>
        <w:t>;</w:t>
      </w:r>
      <w:r w:rsidRPr="00F005BE">
        <w:rPr>
          <w:rFonts w:ascii="Bookman Old Style" w:hAnsi="Bookman Old Style"/>
          <w:sz w:val="21"/>
          <w:szCs w:val="21"/>
        </w:rPr>
        <w:t xml:space="preserve"> continue my education before seeking employment (22%)</w:t>
      </w:r>
      <w:r>
        <w:rPr>
          <w:rFonts w:ascii="Bookman Old Style" w:hAnsi="Bookman Old Style"/>
          <w:sz w:val="21"/>
          <w:szCs w:val="21"/>
        </w:rPr>
        <w:t>;</w:t>
      </w:r>
      <w:r w:rsidRPr="00F005BE">
        <w:rPr>
          <w:rFonts w:ascii="Bookman Old Style" w:hAnsi="Bookman Old Style"/>
          <w:sz w:val="21"/>
          <w:szCs w:val="21"/>
        </w:rPr>
        <w:t xml:space="preserve"> currently seeking employment (50%)</w:t>
      </w:r>
      <w:r>
        <w:rPr>
          <w:rFonts w:ascii="Bookman Old Style" w:hAnsi="Bookman Old Style"/>
          <w:sz w:val="21"/>
          <w:szCs w:val="21"/>
        </w:rPr>
        <w:t>;</w:t>
      </w:r>
      <w:r w:rsidRPr="00F005BE">
        <w:rPr>
          <w:rFonts w:ascii="Bookman Old Style" w:hAnsi="Bookman Old Style"/>
          <w:sz w:val="21"/>
          <w:szCs w:val="21"/>
        </w:rPr>
        <w:t xml:space="preserve"> work at a new job recently obtained (8%</w:t>
      </w:r>
      <w:r>
        <w:rPr>
          <w:rFonts w:ascii="Bookman Old Style" w:hAnsi="Bookman Old Style"/>
          <w:sz w:val="21"/>
          <w:szCs w:val="21"/>
        </w:rPr>
        <w:t xml:space="preserve">). Another 7% plan to </w:t>
      </w:r>
      <w:r w:rsidRPr="00F005BE">
        <w:rPr>
          <w:rFonts w:ascii="Bookman Old Style" w:hAnsi="Bookman Old Style"/>
          <w:sz w:val="21"/>
          <w:szCs w:val="21"/>
        </w:rPr>
        <w:t>engage in other career choices</w:t>
      </w:r>
      <w:r>
        <w:rPr>
          <w:rFonts w:ascii="Bookman Old Style" w:hAnsi="Bookman Old Style"/>
          <w:i/>
          <w:sz w:val="21"/>
          <w:szCs w:val="21"/>
        </w:rPr>
        <w:t>.</w:t>
      </w:r>
      <w:r>
        <w:rPr>
          <w:rFonts w:ascii="Bookman Old Style" w:hAnsi="Bookman Old Style"/>
          <w:sz w:val="21"/>
          <w:szCs w:val="21"/>
        </w:rPr>
        <w:t xml:space="preserve"> With regard to future educational plans of respondents, three in four plan to obtain a master’s degree. </w:t>
      </w:r>
    </w:p>
    <w:p w:rsidR="0047217D" w:rsidRDefault="0047217D" w:rsidP="002C4CD7">
      <w:pPr>
        <w:pStyle w:val="ListParagraph"/>
        <w:rPr>
          <w:rFonts w:ascii="Bookman Old Style" w:hAnsi="Bookman Old Style"/>
          <w:b/>
          <w:color w:val="FF0000"/>
          <w:sz w:val="18"/>
          <w:szCs w:val="18"/>
        </w:rPr>
      </w:pPr>
    </w:p>
    <w:p w:rsidR="0047217D" w:rsidRDefault="0047217D" w:rsidP="002C4CD7">
      <w:pPr>
        <w:pStyle w:val="ListParagraph"/>
        <w:rPr>
          <w:rFonts w:ascii="Bookman Old Style" w:hAnsi="Bookman Old Style"/>
          <w:b/>
          <w:color w:val="FF0000"/>
          <w:sz w:val="18"/>
          <w:szCs w:val="18"/>
        </w:rPr>
      </w:pPr>
    </w:p>
    <w:p w:rsidR="0047217D" w:rsidRPr="00687E2C" w:rsidRDefault="0047217D" w:rsidP="002C4CD7">
      <w:pPr>
        <w:spacing w:after="0"/>
        <w:ind w:left="720" w:right="-630"/>
        <w:rPr>
          <w:rFonts w:ascii="Bookman Old Style" w:hAnsi="Bookman Old Style"/>
          <w:b/>
          <w:color w:val="FF0000"/>
          <w:sz w:val="21"/>
          <w:szCs w:val="21"/>
        </w:rPr>
      </w:pPr>
      <w:r w:rsidRPr="00687E2C">
        <w:rPr>
          <w:rFonts w:ascii="Bookman Old Style" w:hAnsi="Bookman Old Style"/>
          <w:b/>
          <w:color w:val="FF0000"/>
          <w:sz w:val="18"/>
          <w:szCs w:val="18"/>
        </w:rPr>
        <w:t xml:space="preserve">                                                         </w:t>
      </w:r>
      <w:r w:rsidRPr="00687E2C">
        <w:rPr>
          <w:rFonts w:ascii="Bookman Old Style" w:hAnsi="Bookman Old Style"/>
          <w:b/>
          <w:color w:val="FF0000"/>
          <w:sz w:val="21"/>
          <w:szCs w:val="21"/>
        </w:rPr>
        <w:t>Conclusions</w:t>
      </w:r>
    </w:p>
    <w:p w:rsidR="0047217D" w:rsidRPr="000C0BB4" w:rsidRDefault="0047217D" w:rsidP="0063499C">
      <w:pPr>
        <w:pStyle w:val="ListParagraph"/>
        <w:rPr>
          <w:rFonts w:ascii="Bookman Old Style" w:hAnsi="Bookman Old Style"/>
          <w:sz w:val="21"/>
          <w:szCs w:val="21"/>
        </w:rPr>
      </w:pPr>
    </w:p>
    <w:p w:rsidR="0047217D" w:rsidRPr="000C0BB4" w:rsidRDefault="0047217D" w:rsidP="00523E06">
      <w:pPr>
        <w:pStyle w:val="ListParagraph"/>
        <w:rPr>
          <w:rFonts w:ascii="Bookman Old Style" w:hAnsi="Bookman Old Style"/>
          <w:sz w:val="21"/>
          <w:szCs w:val="21"/>
        </w:rPr>
      </w:pPr>
      <w:r>
        <w:rPr>
          <w:rFonts w:ascii="Bookman Old Style" w:hAnsi="Bookman Old Style"/>
          <w:sz w:val="21"/>
          <w:szCs w:val="21"/>
        </w:rPr>
        <w:t>This is the third</w:t>
      </w:r>
      <w:r w:rsidRPr="000C0BB4">
        <w:rPr>
          <w:rFonts w:ascii="Bookman Old Style" w:hAnsi="Bookman Old Style"/>
          <w:sz w:val="21"/>
          <w:szCs w:val="21"/>
        </w:rPr>
        <w:t xml:space="preserve"> </w:t>
      </w:r>
      <w:r>
        <w:rPr>
          <w:rFonts w:ascii="Bookman Old Style" w:hAnsi="Bookman Old Style"/>
          <w:sz w:val="21"/>
          <w:szCs w:val="21"/>
        </w:rPr>
        <w:t xml:space="preserve">annual </w:t>
      </w:r>
      <w:r w:rsidRPr="000C0BB4">
        <w:rPr>
          <w:rFonts w:ascii="Bookman Old Style" w:hAnsi="Bookman Old Style"/>
          <w:sz w:val="21"/>
          <w:szCs w:val="21"/>
        </w:rPr>
        <w:t xml:space="preserve">administration of </w:t>
      </w:r>
      <w:r>
        <w:rPr>
          <w:rFonts w:ascii="Bookman Old Style" w:hAnsi="Bookman Old Style"/>
          <w:sz w:val="21"/>
          <w:szCs w:val="21"/>
        </w:rPr>
        <w:t>the Senior Exit S</w:t>
      </w:r>
      <w:r w:rsidRPr="000C0BB4">
        <w:rPr>
          <w:rFonts w:ascii="Bookman Old Style" w:hAnsi="Bookman Old Style"/>
          <w:sz w:val="21"/>
          <w:szCs w:val="21"/>
        </w:rPr>
        <w:t xml:space="preserve">urvey. </w:t>
      </w:r>
      <w:r>
        <w:rPr>
          <w:rFonts w:ascii="Bookman Old Style" w:hAnsi="Bookman Old Style"/>
          <w:sz w:val="21"/>
          <w:szCs w:val="21"/>
        </w:rPr>
        <w:t xml:space="preserve">The survey provides a wealth of information about students’ assessment of their educational experiences at UCM. Overall, respondents are very positive about their undergraduate experiences at the University of Central Missouri. </w:t>
      </w:r>
      <w:r w:rsidRPr="000C0BB4">
        <w:rPr>
          <w:rFonts w:ascii="Bookman Old Style" w:hAnsi="Bookman Old Style"/>
          <w:sz w:val="21"/>
          <w:szCs w:val="21"/>
        </w:rPr>
        <w:t xml:space="preserve">In particular, an </w:t>
      </w:r>
      <w:r>
        <w:rPr>
          <w:rFonts w:ascii="Bookman Old Style" w:hAnsi="Bookman Old Style"/>
          <w:sz w:val="21"/>
          <w:szCs w:val="21"/>
        </w:rPr>
        <w:t>o</w:t>
      </w:r>
      <w:r w:rsidRPr="000C0BB4">
        <w:rPr>
          <w:rFonts w:ascii="Bookman Old Style" w:hAnsi="Bookman Old Style"/>
          <w:sz w:val="21"/>
          <w:szCs w:val="21"/>
        </w:rPr>
        <w:t>verwhelming majority of graduating seniors would recommend UCM to a friend/family considering college.</w:t>
      </w:r>
      <w:r>
        <w:rPr>
          <w:rFonts w:ascii="Bookman Old Style" w:hAnsi="Bookman Old Style"/>
          <w:sz w:val="21"/>
          <w:szCs w:val="21"/>
        </w:rPr>
        <w:t xml:space="preserve"> Graduating seniors are very positive about the contributions faculty in their major department make toward their education.</w:t>
      </w:r>
    </w:p>
    <w:p w:rsidR="0047217D" w:rsidRPr="000C0BB4" w:rsidRDefault="0047217D" w:rsidP="00523E06">
      <w:pPr>
        <w:pStyle w:val="ListParagraph"/>
        <w:rPr>
          <w:rFonts w:ascii="Bookman Old Style" w:hAnsi="Bookman Old Style"/>
          <w:sz w:val="21"/>
          <w:szCs w:val="21"/>
        </w:rPr>
      </w:pPr>
    </w:p>
    <w:p w:rsidR="0047217D" w:rsidRDefault="0047217D" w:rsidP="00A8459A">
      <w:pPr>
        <w:pStyle w:val="ListParagraph"/>
        <w:spacing w:after="0"/>
        <w:rPr>
          <w:rFonts w:ascii="Bookman Old Style" w:hAnsi="Bookman Old Style"/>
          <w:sz w:val="21"/>
          <w:szCs w:val="21"/>
        </w:rPr>
      </w:pPr>
      <w:r>
        <w:rPr>
          <w:rFonts w:ascii="Bookman Old Style" w:hAnsi="Bookman Old Style"/>
          <w:sz w:val="21"/>
          <w:szCs w:val="21"/>
        </w:rPr>
        <w:t>The results of the survey have</w:t>
      </w:r>
      <w:r w:rsidRPr="000C0BB4">
        <w:rPr>
          <w:rFonts w:ascii="Bookman Old Style" w:hAnsi="Bookman Old Style"/>
          <w:sz w:val="21"/>
          <w:szCs w:val="21"/>
        </w:rPr>
        <w:t xml:space="preserve"> some polic</w:t>
      </w:r>
      <w:r>
        <w:rPr>
          <w:rFonts w:ascii="Bookman Old Style" w:hAnsi="Bookman Old Style"/>
          <w:sz w:val="21"/>
          <w:szCs w:val="21"/>
        </w:rPr>
        <w:t>y implications. For example, the survey results indicate</w:t>
      </w:r>
      <w:r w:rsidRPr="000C0BB4">
        <w:rPr>
          <w:rFonts w:ascii="Bookman Old Style" w:hAnsi="Bookman Old Style"/>
          <w:sz w:val="21"/>
          <w:szCs w:val="21"/>
        </w:rPr>
        <w:t xml:space="preserve"> that </w:t>
      </w:r>
      <w:r>
        <w:rPr>
          <w:rFonts w:ascii="Bookman Old Style" w:hAnsi="Bookman Old Style"/>
          <w:sz w:val="21"/>
          <w:szCs w:val="21"/>
        </w:rPr>
        <w:t>students</w:t>
      </w:r>
      <w:r w:rsidRPr="000C0BB4">
        <w:rPr>
          <w:rFonts w:ascii="Bookman Old Style" w:hAnsi="Bookman Old Style"/>
          <w:sz w:val="21"/>
          <w:szCs w:val="21"/>
        </w:rPr>
        <w:t xml:space="preserve"> who selected their</w:t>
      </w:r>
      <w:r>
        <w:rPr>
          <w:rFonts w:ascii="Bookman Old Style" w:hAnsi="Bookman Old Style"/>
          <w:sz w:val="21"/>
          <w:szCs w:val="21"/>
        </w:rPr>
        <w:t xml:space="preserve"> major in their freshman year are</w:t>
      </w:r>
      <w:r w:rsidRPr="000C0BB4">
        <w:rPr>
          <w:rFonts w:ascii="Bookman Old Style" w:hAnsi="Bookman Old Style"/>
          <w:sz w:val="21"/>
          <w:szCs w:val="21"/>
        </w:rPr>
        <w:t xml:space="preserve"> m</w:t>
      </w:r>
      <w:r>
        <w:rPr>
          <w:rFonts w:ascii="Bookman Old Style" w:hAnsi="Bookman Old Style"/>
          <w:sz w:val="21"/>
          <w:szCs w:val="21"/>
        </w:rPr>
        <w:t>ore likely to complete</w:t>
      </w:r>
      <w:r w:rsidRPr="000C0BB4">
        <w:rPr>
          <w:rFonts w:ascii="Bookman Old Style" w:hAnsi="Bookman Old Style"/>
          <w:sz w:val="21"/>
          <w:szCs w:val="21"/>
        </w:rPr>
        <w:t xml:space="preserve"> their </w:t>
      </w:r>
      <w:r>
        <w:rPr>
          <w:rFonts w:ascii="Bookman Old Style" w:hAnsi="Bookman Old Style"/>
          <w:sz w:val="21"/>
          <w:szCs w:val="21"/>
        </w:rPr>
        <w:t xml:space="preserve">bachelor’s </w:t>
      </w:r>
      <w:r w:rsidRPr="000C0BB4">
        <w:rPr>
          <w:rFonts w:ascii="Bookman Old Style" w:hAnsi="Bookman Old Style"/>
          <w:sz w:val="21"/>
          <w:szCs w:val="21"/>
        </w:rPr>
        <w:t xml:space="preserve">degree in four years or less than their counterparts who did not select their major during their freshman year. </w:t>
      </w:r>
    </w:p>
    <w:p w:rsidR="0047217D" w:rsidRDefault="0047217D" w:rsidP="00A8459A">
      <w:pPr>
        <w:pStyle w:val="ListParagraph"/>
        <w:spacing w:after="0"/>
        <w:rPr>
          <w:rFonts w:ascii="Bookman Old Style" w:hAnsi="Bookman Old Style"/>
          <w:sz w:val="21"/>
          <w:szCs w:val="21"/>
        </w:rPr>
      </w:pPr>
    </w:p>
    <w:p w:rsidR="0047217D" w:rsidRDefault="0047217D" w:rsidP="008116BC">
      <w:pPr>
        <w:pStyle w:val="ListParagraph"/>
        <w:rPr>
          <w:rFonts w:ascii="Bookman Old Style" w:hAnsi="Bookman Old Style"/>
          <w:sz w:val="21"/>
          <w:szCs w:val="21"/>
        </w:rPr>
      </w:pPr>
      <w:r>
        <w:rPr>
          <w:rFonts w:ascii="Bookman Old Style" w:hAnsi="Bookman Old Style"/>
          <w:sz w:val="21"/>
          <w:szCs w:val="21"/>
        </w:rPr>
        <w:t xml:space="preserve">Results from the survey also suggest that a vast majority of graduating seniors transferred credits from other institutions towards their undergraduate degree at UCM. The fact that “lost credit when I transferred to UCM” is the third reason given by students for not completing their degree in four years or less is disturbing.  The university needs to develop a comprehensive transfer agreement that supports transfer student success at various stages. </w:t>
      </w:r>
    </w:p>
    <w:p w:rsidR="0047217D" w:rsidRDefault="0047217D" w:rsidP="008116BC">
      <w:pPr>
        <w:pStyle w:val="ListParagraph"/>
        <w:rPr>
          <w:rFonts w:ascii="Bookman Old Style" w:hAnsi="Bookman Old Style"/>
          <w:sz w:val="21"/>
          <w:szCs w:val="21"/>
        </w:rPr>
      </w:pPr>
    </w:p>
    <w:sectPr w:rsidR="0047217D" w:rsidSect="003E7DAB">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7D" w:rsidRDefault="0047217D" w:rsidP="00D02900">
      <w:pPr>
        <w:spacing w:after="0" w:line="240" w:lineRule="auto"/>
      </w:pPr>
      <w:r>
        <w:separator/>
      </w:r>
    </w:p>
  </w:endnote>
  <w:endnote w:type="continuationSeparator" w:id="0">
    <w:p w:rsidR="0047217D" w:rsidRDefault="0047217D" w:rsidP="00D0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7D" w:rsidRDefault="0047217D">
    <w:pPr>
      <w:pStyle w:val="Footer"/>
      <w:jc w:val="right"/>
    </w:pPr>
    <w:fldSimple w:instr=" PAGE   \* MERGEFORMAT ">
      <w:r>
        <w:rPr>
          <w:noProof/>
        </w:rPr>
        <w:t>5</w:t>
      </w:r>
    </w:fldSimple>
  </w:p>
  <w:p w:rsidR="0047217D" w:rsidRDefault="00472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7D" w:rsidRDefault="0047217D" w:rsidP="00D02900">
    <w:pPr>
      <w:pStyle w:val="Footer"/>
      <w:jc w:val="right"/>
    </w:pPr>
  </w:p>
  <w:p w:rsidR="0047217D" w:rsidRDefault="00472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7D" w:rsidRDefault="0047217D" w:rsidP="00D02900">
      <w:pPr>
        <w:spacing w:after="0" w:line="240" w:lineRule="auto"/>
      </w:pPr>
      <w:r>
        <w:separator/>
      </w:r>
    </w:p>
  </w:footnote>
  <w:footnote w:type="continuationSeparator" w:id="0">
    <w:p w:rsidR="0047217D" w:rsidRDefault="0047217D" w:rsidP="00D0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7D" w:rsidRDefault="0047217D">
    <w:pPr>
      <w:pStyle w:val="Header"/>
    </w:pPr>
  </w:p>
  <w:p w:rsidR="0047217D" w:rsidRDefault="0047217D">
    <w:pPr>
      <w:pStyle w:val="Header"/>
    </w:pPr>
  </w:p>
  <w:p w:rsidR="0047217D" w:rsidRDefault="00472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0D"/>
    <w:multiLevelType w:val="hybridMultilevel"/>
    <w:tmpl w:val="4CC800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565FA"/>
    <w:multiLevelType w:val="hybridMultilevel"/>
    <w:tmpl w:val="056409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05AF0"/>
    <w:multiLevelType w:val="hybridMultilevel"/>
    <w:tmpl w:val="D2D60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F2B1F"/>
    <w:multiLevelType w:val="hybridMultilevel"/>
    <w:tmpl w:val="D360810C"/>
    <w:lvl w:ilvl="0" w:tplc="0FB60EE6">
      <w:start w:val="1"/>
      <w:numFmt w:val="decimal"/>
      <w:lvlText w:val="%1."/>
      <w:lvlJc w:val="left"/>
      <w:pPr>
        <w:ind w:left="2685" w:hanging="360"/>
      </w:pPr>
      <w:rPr>
        <w:rFonts w:cs="Times New Roman" w:hint="default"/>
      </w:rPr>
    </w:lvl>
    <w:lvl w:ilvl="1" w:tplc="04090019" w:tentative="1">
      <w:start w:val="1"/>
      <w:numFmt w:val="lowerLetter"/>
      <w:lvlText w:val="%2."/>
      <w:lvlJc w:val="left"/>
      <w:pPr>
        <w:ind w:left="3405" w:hanging="360"/>
      </w:pPr>
      <w:rPr>
        <w:rFonts w:cs="Times New Roman"/>
      </w:rPr>
    </w:lvl>
    <w:lvl w:ilvl="2" w:tplc="0409001B" w:tentative="1">
      <w:start w:val="1"/>
      <w:numFmt w:val="lowerRoman"/>
      <w:lvlText w:val="%3."/>
      <w:lvlJc w:val="right"/>
      <w:pPr>
        <w:ind w:left="4125" w:hanging="180"/>
      </w:pPr>
      <w:rPr>
        <w:rFonts w:cs="Times New Roman"/>
      </w:rPr>
    </w:lvl>
    <w:lvl w:ilvl="3" w:tplc="0409000F" w:tentative="1">
      <w:start w:val="1"/>
      <w:numFmt w:val="decimal"/>
      <w:lvlText w:val="%4."/>
      <w:lvlJc w:val="left"/>
      <w:pPr>
        <w:ind w:left="4845" w:hanging="360"/>
      </w:pPr>
      <w:rPr>
        <w:rFonts w:cs="Times New Roman"/>
      </w:rPr>
    </w:lvl>
    <w:lvl w:ilvl="4" w:tplc="04090019" w:tentative="1">
      <w:start w:val="1"/>
      <w:numFmt w:val="lowerLetter"/>
      <w:lvlText w:val="%5."/>
      <w:lvlJc w:val="left"/>
      <w:pPr>
        <w:ind w:left="5565" w:hanging="360"/>
      </w:pPr>
      <w:rPr>
        <w:rFonts w:cs="Times New Roman"/>
      </w:rPr>
    </w:lvl>
    <w:lvl w:ilvl="5" w:tplc="0409001B" w:tentative="1">
      <w:start w:val="1"/>
      <w:numFmt w:val="lowerRoman"/>
      <w:lvlText w:val="%6."/>
      <w:lvlJc w:val="right"/>
      <w:pPr>
        <w:ind w:left="6285" w:hanging="180"/>
      </w:pPr>
      <w:rPr>
        <w:rFonts w:cs="Times New Roman"/>
      </w:rPr>
    </w:lvl>
    <w:lvl w:ilvl="6" w:tplc="0409000F" w:tentative="1">
      <w:start w:val="1"/>
      <w:numFmt w:val="decimal"/>
      <w:lvlText w:val="%7."/>
      <w:lvlJc w:val="left"/>
      <w:pPr>
        <w:ind w:left="7005" w:hanging="360"/>
      </w:pPr>
      <w:rPr>
        <w:rFonts w:cs="Times New Roman"/>
      </w:rPr>
    </w:lvl>
    <w:lvl w:ilvl="7" w:tplc="04090019" w:tentative="1">
      <w:start w:val="1"/>
      <w:numFmt w:val="lowerLetter"/>
      <w:lvlText w:val="%8."/>
      <w:lvlJc w:val="left"/>
      <w:pPr>
        <w:ind w:left="7725" w:hanging="360"/>
      </w:pPr>
      <w:rPr>
        <w:rFonts w:cs="Times New Roman"/>
      </w:rPr>
    </w:lvl>
    <w:lvl w:ilvl="8" w:tplc="0409001B" w:tentative="1">
      <w:start w:val="1"/>
      <w:numFmt w:val="lowerRoman"/>
      <w:lvlText w:val="%9."/>
      <w:lvlJc w:val="right"/>
      <w:pPr>
        <w:ind w:left="8445" w:hanging="180"/>
      </w:pPr>
      <w:rPr>
        <w:rFonts w:cs="Times New Roman"/>
      </w:rPr>
    </w:lvl>
  </w:abstractNum>
  <w:abstractNum w:abstractNumId="4">
    <w:nsid w:val="0F7E0521"/>
    <w:multiLevelType w:val="hybridMultilevel"/>
    <w:tmpl w:val="D1BA53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AD7BF4"/>
    <w:multiLevelType w:val="hybridMultilevel"/>
    <w:tmpl w:val="2E0AA4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155A4"/>
    <w:multiLevelType w:val="hybridMultilevel"/>
    <w:tmpl w:val="39722A00"/>
    <w:lvl w:ilvl="0" w:tplc="893065F8">
      <w:start w:val="2"/>
      <w:numFmt w:val="bullet"/>
      <w:lvlText w:val=""/>
      <w:lvlJc w:val="left"/>
      <w:pPr>
        <w:ind w:left="2295" w:hanging="360"/>
      </w:pPr>
      <w:rPr>
        <w:rFonts w:ascii="Symbol" w:eastAsia="SimSun" w:hAnsi="Symbol" w:hint="default"/>
      </w:rPr>
    </w:lvl>
    <w:lvl w:ilvl="1" w:tplc="04090003" w:tentative="1">
      <w:start w:val="1"/>
      <w:numFmt w:val="bullet"/>
      <w:lvlText w:val="o"/>
      <w:lvlJc w:val="left"/>
      <w:pPr>
        <w:ind w:left="3015" w:hanging="360"/>
      </w:pPr>
      <w:rPr>
        <w:rFonts w:ascii="Courier New" w:hAnsi="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7">
    <w:nsid w:val="1B5B2E95"/>
    <w:multiLevelType w:val="hybridMultilevel"/>
    <w:tmpl w:val="6CCEB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20F80"/>
    <w:multiLevelType w:val="hybridMultilevel"/>
    <w:tmpl w:val="8A627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D12BD"/>
    <w:multiLevelType w:val="hybridMultilevel"/>
    <w:tmpl w:val="2E9437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71280D"/>
    <w:multiLevelType w:val="hybridMultilevel"/>
    <w:tmpl w:val="C9BE19FC"/>
    <w:lvl w:ilvl="0" w:tplc="EDB4CF72">
      <w:start w:val="2"/>
      <w:numFmt w:val="bullet"/>
      <w:lvlText w:val=""/>
      <w:lvlJc w:val="left"/>
      <w:pPr>
        <w:ind w:left="1935" w:hanging="360"/>
      </w:pPr>
      <w:rPr>
        <w:rFonts w:ascii="Symbol" w:eastAsia="SimSun" w:hAnsi="Symbol" w:hint="default"/>
      </w:rPr>
    </w:lvl>
    <w:lvl w:ilvl="1" w:tplc="04090003" w:tentative="1">
      <w:start w:val="1"/>
      <w:numFmt w:val="bullet"/>
      <w:lvlText w:val="o"/>
      <w:lvlJc w:val="left"/>
      <w:pPr>
        <w:ind w:left="2655" w:hanging="360"/>
      </w:pPr>
      <w:rPr>
        <w:rFonts w:ascii="Courier New" w:hAnsi="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1">
    <w:nsid w:val="2B9C4BD0"/>
    <w:multiLevelType w:val="hybridMultilevel"/>
    <w:tmpl w:val="7B3C4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3506A"/>
    <w:multiLevelType w:val="hybridMultilevel"/>
    <w:tmpl w:val="527EFB8A"/>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2DC52B8"/>
    <w:multiLevelType w:val="hybridMultilevel"/>
    <w:tmpl w:val="44DC3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415C1"/>
    <w:multiLevelType w:val="hybridMultilevel"/>
    <w:tmpl w:val="7E46CE8C"/>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42B15B5"/>
    <w:multiLevelType w:val="hybridMultilevel"/>
    <w:tmpl w:val="D92AD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F227C"/>
    <w:multiLevelType w:val="hybridMultilevel"/>
    <w:tmpl w:val="6630B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D4691"/>
    <w:multiLevelType w:val="hybridMultilevel"/>
    <w:tmpl w:val="E7AC5D0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412B5F9A"/>
    <w:multiLevelType w:val="hybridMultilevel"/>
    <w:tmpl w:val="A4FAB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13A4C"/>
    <w:multiLevelType w:val="hybridMultilevel"/>
    <w:tmpl w:val="6298D2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162B8"/>
    <w:multiLevelType w:val="hybridMultilevel"/>
    <w:tmpl w:val="CF6844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FC25E7"/>
    <w:multiLevelType w:val="hybridMultilevel"/>
    <w:tmpl w:val="A0964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57B0B"/>
    <w:multiLevelType w:val="hybridMultilevel"/>
    <w:tmpl w:val="2BD4C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653D36"/>
    <w:multiLevelType w:val="hybridMultilevel"/>
    <w:tmpl w:val="EFC016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E5B47"/>
    <w:multiLevelType w:val="hybridMultilevel"/>
    <w:tmpl w:val="D75EF2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B733A"/>
    <w:multiLevelType w:val="hybridMultilevel"/>
    <w:tmpl w:val="7DE0745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F235887"/>
    <w:multiLevelType w:val="hybridMultilevel"/>
    <w:tmpl w:val="0EFC29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F435B0"/>
    <w:multiLevelType w:val="hybridMultilevel"/>
    <w:tmpl w:val="ABE61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667C3"/>
    <w:multiLevelType w:val="hybridMultilevel"/>
    <w:tmpl w:val="DDD6E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
  </w:num>
  <w:num w:numId="4">
    <w:abstractNumId w:val="8"/>
  </w:num>
  <w:num w:numId="5">
    <w:abstractNumId w:val="23"/>
  </w:num>
  <w:num w:numId="6">
    <w:abstractNumId w:val="27"/>
  </w:num>
  <w:num w:numId="7">
    <w:abstractNumId w:val="13"/>
  </w:num>
  <w:num w:numId="8">
    <w:abstractNumId w:val="25"/>
  </w:num>
  <w:num w:numId="9">
    <w:abstractNumId w:val="18"/>
  </w:num>
  <w:num w:numId="10">
    <w:abstractNumId w:val="15"/>
  </w:num>
  <w:num w:numId="11">
    <w:abstractNumId w:val="7"/>
  </w:num>
  <w:num w:numId="12">
    <w:abstractNumId w:val="16"/>
  </w:num>
  <w:num w:numId="13">
    <w:abstractNumId w:val="17"/>
  </w:num>
  <w:num w:numId="14">
    <w:abstractNumId w:val="26"/>
  </w:num>
  <w:num w:numId="15">
    <w:abstractNumId w:val="20"/>
  </w:num>
  <w:num w:numId="16">
    <w:abstractNumId w:val="9"/>
  </w:num>
  <w:num w:numId="17">
    <w:abstractNumId w:val="22"/>
  </w:num>
  <w:num w:numId="18">
    <w:abstractNumId w:val="0"/>
  </w:num>
  <w:num w:numId="19">
    <w:abstractNumId w:val="4"/>
  </w:num>
  <w:num w:numId="20">
    <w:abstractNumId w:val="5"/>
  </w:num>
  <w:num w:numId="21">
    <w:abstractNumId w:val="28"/>
  </w:num>
  <w:num w:numId="22">
    <w:abstractNumId w:val="2"/>
  </w:num>
  <w:num w:numId="23">
    <w:abstractNumId w:val="14"/>
  </w:num>
  <w:num w:numId="24">
    <w:abstractNumId w:val="21"/>
  </w:num>
  <w:num w:numId="25">
    <w:abstractNumId w:val="3"/>
  </w:num>
  <w:num w:numId="26">
    <w:abstractNumId w:val="10"/>
  </w:num>
  <w:num w:numId="27">
    <w:abstractNumId w:val="6"/>
  </w:num>
  <w:num w:numId="28">
    <w:abstractNumId w:val="19"/>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B45"/>
    <w:rsid w:val="0000068E"/>
    <w:rsid w:val="000119C2"/>
    <w:rsid w:val="000229BD"/>
    <w:rsid w:val="000243A2"/>
    <w:rsid w:val="00025FA3"/>
    <w:rsid w:val="00026068"/>
    <w:rsid w:val="000262AA"/>
    <w:rsid w:val="00030A47"/>
    <w:rsid w:val="00030B53"/>
    <w:rsid w:val="00035FB6"/>
    <w:rsid w:val="0003793A"/>
    <w:rsid w:val="00037EC0"/>
    <w:rsid w:val="00044EF2"/>
    <w:rsid w:val="00046638"/>
    <w:rsid w:val="00046837"/>
    <w:rsid w:val="000468B8"/>
    <w:rsid w:val="000513DA"/>
    <w:rsid w:val="00054E16"/>
    <w:rsid w:val="00055F17"/>
    <w:rsid w:val="00055F25"/>
    <w:rsid w:val="00056261"/>
    <w:rsid w:val="000565F0"/>
    <w:rsid w:val="000572CC"/>
    <w:rsid w:val="000663D6"/>
    <w:rsid w:val="00066CCD"/>
    <w:rsid w:val="00067805"/>
    <w:rsid w:val="00070FCA"/>
    <w:rsid w:val="00071C9F"/>
    <w:rsid w:val="00082676"/>
    <w:rsid w:val="00083496"/>
    <w:rsid w:val="000867DE"/>
    <w:rsid w:val="00087A5E"/>
    <w:rsid w:val="00096886"/>
    <w:rsid w:val="00096BB9"/>
    <w:rsid w:val="000A323A"/>
    <w:rsid w:val="000A3B66"/>
    <w:rsid w:val="000A5AB3"/>
    <w:rsid w:val="000B2C97"/>
    <w:rsid w:val="000C0BB4"/>
    <w:rsid w:val="000C2760"/>
    <w:rsid w:val="000D6EAB"/>
    <w:rsid w:val="000D7A6E"/>
    <w:rsid w:val="000E12D4"/>
    <w:rsid w:val="000E2B18"/>
    <w:rsid w:val="000E57A7"/>
    <w:rsid w:val="000F1B15"/>
    <w:rsid w:val="000F43E8"/>
    <w:rsid w:val="000F6B2E"/>
    <w:rsid w:val="00100F6C"/>
    <w:rsid w:val="00102030"/>
    <w:rsid w:val="00103D2E"/>
    <w:rsid w:val="00104F06"/>
    <w:rsid w:val="0010519F"/>
    <w:rsid w:val="0010564A"/>
    <w:rsid w:val="00113896"/>
    <w:rsid w:val="00113AA3"/>
    <w:rsid w:val="0011441E"/>
    <w:rsid w:val="00115058"/>
    <w:rsid w:val="001169BA"/>
    <w:rsid w:val="0012038F"/>
    <w:rsid w:val="00125444"/>
    <w:rsid w:val="00131853"/>
    <w:rsid w:val="00142487"/>
    <w:rsid w:val="001432CD"/>
    <w:rsid w:val="00145FB5"/>
    <w:rsid w:val="0014631C"/>
    <w:rsid w:val="00146C6D"/>
    <w:rsid w:val="001504F9"/>
    <w:rsid w:val="00150954"/>
    <w:rsid w:val="001542A6"/>
    <w:rsid w:val="00154882"/>
    <w:rsid w:val="00154F2B"/>
    <w:rsid w:val="00154FD1"/>
    <w:rsid w:val="00161BF2"/>
    <w:rsid w:val="001678AA"/>
    <w:rsid w:val="00170A3E"/>
    <w:rsid w:val="00172100"/>
    <w:rsid w:val="001766D7"/>
    <w:rsid w:val="001777A8"/>
    <w:rsid w:val="00180F66"/>
    <w:rsid w:val="001810C4"/>
    <w:rsid w:val="00181219"/>
    <w:rsid w:val="00181AAA"/>
    <w:rsid w:val="0018220D"/>
    <w:rsid w:val="00186DB6"/>
    <w:rsid w:val="00192BCC"/>
    <w:rsid w:val="00193081"/>
    <w:rsid w:val="00193220"/>
    <w:rsid w:val="0019448D"/>
    <w:rsid w:val="001A0D42"/>
    <w:rsid w:val="001A26DD"/>
    <w:rsid w:val="001A2ABB"/>
    <w:rsid w:val="001A388A"/>
    <w:rsid w:val="001A5106"/>
    <w:rsid w:val="001A6492"/>
    <w:rsid w:val="001A6F65"/>
    <w:rsid w:val="001C1B72"/>
    <w:rsid w:val="001C2B9B"/>
    <w:rsid w:val="001C2CE5"/>
    <w:rsid w:val="001C4B0B"/>
    <w:rsid w:val="001C5661"/>
    <w:rsid w:val="001D16D2"/>
    <w:rsid w:val="001D4281"/>
    <w:rsid w:val="001D5563"/>
    <w:rsid w:val="001D77BE"/>
    <w:rsid w:val="001E00A6"/>
    <w:rsid w:val="001E4DF5"/>
    <w:rsid w:val="001F3F84"/>
    <w:rsid w:val="00201146"/>
    <w:rsid w:val="00205B20"/>
    <w:rsid w:val="002134B5"/>
    <w:rsid w:val="00225594"/>
    <w:rsid w:val="00227FCC"/>
    <w:rsid w:val="00231FE4"/>
    <w:rsid w:val="00237CAD"/>
    <w:rsid w:val="00245D5C"/>
    <w:rsid w:val="0025201E"/>
    <w:rsid w:val="00256558"/>
    <w:rsid w:val="0026048B"/>
    <w:rsid w:val="002606B1"/>
    <w:rsid w:val="0026150A"/>
    <w:rsid w:val="002620B3"/>
    <w:rsid w:val="0026547C"/>
    <w:rsid w:val="002657DE"/>
    <w:rsid w:val="002667A2"/>
    <w:rsid w:val="0027508C"/>
    <w:rsid w:val="00275608"/>
    <w:rsid w:val="00275D50"/>
    <w:rsid w:val="0027613F"/>
    <w:rsid w:val="00276803"/>
    <w:rsid w:val="00277828"/>
    <w:rsid w:val="002913C2"/>
    <w:rsid w:val="002915A4"/>
    <w:rsid w:val="00295433"/>
    <w:rsid w:val="00297D58"/>
    <w:rsid w:val="002A1778"/>
    <w:rsid w:val="002A1951"/>
    <w:rsid w:val="002A56ED"/>
    <w:rsid w:val="002A7DAE"/>
    <w:rsid w:val="002B1F03"/>
    <w:rsid w:val="002B2870"/>
    <w:rsid w:val="002B2CD9"/>
    <w:rsid w:val="002B2EFC"/>
    <w:rsid w:val="002B67BD"/>
    <w:rsid w:val="002C3D0A"/>
    <w:rsid w:val="002C4CD7"/>
    <w:rsid w:val="002C5DF6"/>
    <w:rsid w:val="002C7675"/>
    <w:rsid w:val="002D4528"/>
    <w:rsid w:val="002D7129"/>
    <w:rsid w:val="002E1537"/>
    <w:rsid w:val="002E432F"/>
    <w:rsid w:val="002F3E03"/>
    <w:rsid w:val="00301E16"/>
    <w:rsid w:val="0030347F"/>
    <w:rsid w:val="00305C1A"/>
    <w:rsid w:val="00310661"/>
    <w:rsid w:val="00310DBE"/>
    <w:rsid w:val="0031255D"/>
    <w:rsid w:val="003179B8"/>
    <w:rsid w:val="003211B6"/>
    <w:rsid w:val="00321EF6"/>
    <w:rsid w:val="00323CED"/>
    <w:rsid w:val="00324482"/>
    <w:rsid w:val="003247ED"/>
    <w:rsid w:val="00325E1F"/>
    <w:rsid w:val="0033026C"/>
    <w:rsid w:val="003329A1"/>
    <w:rsid w:val="00335239"/>
    <w:rsid w:val="00337B11"/>
    <w:rsid w:val="003422B1"/>
    <w:rsid w:val="00344CF1"/>
    <w:rsid w:val="0035041F"/>
    <w:rsid w:val="00350AA5"/>
    <w:rsid w:val="00363771"/>
    <w:rsid w:val="003645C2"/>
    <w:rsid w:val="0037034F"/>
    <w:rsid w:val="0037049A"/>
    <w:rsid w:val="003716CA"/>
    <w:rsid w:val="003823DC"/>
    <w:rsid w:val="003834E7"/>
    <w:rsid w:val="00390B40"/>
    <w:rsid w:val="00391103"/>
    <w:rsid w:val="0039635C"/>
    <w:rsid w:val="0039689D"/>
    <w:rsid w:val="00396909"/>
    <w:rsid w:val="003B16B7"/>
    <w:rsid w:val="003B5FB7"/>
    <w:rsid w:val="003C07D6"/>
    <w:rsid w:val="003C445B"/>
    <w:rsid w:val="003C5F67"/>
    <w:rsid w:val="003C7425"/>
    <w:rsid w:val="003C7BCE"/>
    <w:rsid w:val="003D1747"/>
    <w:rsid w:val="003D28A5"/>
    <w:rsid w:val="003D2B16"/>
    <w:rsid w:val="003E6523"/>
    <w:rsid w:val="003E7DAB"/>
    <w:rsid w:val="003F0ED0"/>
    <w:rsid w:val="003F58DC"/>
    <w:rsid w:val="003F5FFB"/>
    <w:rsid w:val="00400912"/>
    <w:rsid w:val="00403032"/>
    <w:rsid w:val="00410874"/>
    <w:rsid w:val="00411253"/>
    <w:rsid w:val="0041351B"/>
    <w:rsid w:val="00416A2B"/>
    <w:rsid w:val="00416E36"/>
    <w:rsid w:val="004261F3"/>
    <w:rsid w:val="0043067E"/>
    <w:rsid w:val="004313BB"/>
    <w:rsid w:val="004316C5"/>
    <w:rsid w:val="00431A8B"/>
    <w:rsid w:val="00431D65"/>
    <w:rsid w:val="0043327D"/>
    <w:rsid w:val="004335E3"/>
    <w:rsid w:val="004339AB"/>
    <w:rsid w:val="00434A1E"/>
    <w:rsid w:val="00435F2B"/>
    <w:rsid w:val="004405DE"/>
    <w:rsid w:val="00446D28"/>
    <w:rsid w:val="00450D24"/>
    <w:rsid w:val="00452052"/>
    <w:rsid w:val="00462217"/>
    <w:rsid w:val="00466B0B"/>
    <w:rsid w:val="0047217D"/>
    <w:rsid w:val="004815DD"/>
    <w:rsid w:val="004821B2"/>
    <w:rsid w:val="00491C3B"/>
    <w:rsid w:val="0049763D"/>
    <w:rsid w:val="004A054E"/>
    <w:rsid w:val="004A3398"/>
    <w:rsid w:val="004A35AA"/>
    <w:rsid w:val="004A627C"/>
    <w:rsid w:val="004B6CE7"/>
    <w:rsid w:val="004C2152"/>
    <w:rsid w:val="004C5100"/>
    <w:rsid w:val="004C653F"/>
    <w:rsid w:val="004C67BB"/>
    <w:rsid w:val="004C6948"/>
    <w:rsid w:val="004D04CD"/>
    <w:rsid w:val="004D389C"/>
    <w:rsid w:val="004D642D"/>
    <w:rsid w:val="004E3CB9"/>
    <w:rsid w:val="004E4F52"/>
    <w:rsid w:val="004E6298"/>
    <w:rsid w:val="004F0D94"/>
    <w:rsid w:val="004F1644"/>
    <w:rsid w:val="004F2988"/>
    <w:rsid w:val="004F5530"/>
    <w:rsid w:val="004F5AA2"/>
    <w:rsid w:val="004F7258"/>
    <w:rsid w:val="00500063"/>
    <w:rsid w:val="00500AAB"/>
    <w:rsid w:val="00501AE6"/>
    <w:rsid w:val="00501BA4"/>
    <w:rsid w:val="005047B1"/>
    <w:rsid w:val="0050590B"/>
    <w:rsid w:val="00505E32"/>
    <w:rsid w:val="005130C5"/>
    <w:rsid w:val="00517B00"/>
    <w:rsid w:val="00517D87"/>
    <w:rsid w:val="005208FF"/>
    <w:rsid w:val="00520E7D"/>
    <w:rsid w:val="00523E06"/>
    <w:rsid w:val="0052415C"/>
    <w:rsid w:val="005278E4"/>
    <w:rsid w:val="00543B8A"/>
    <w:rsid w:val="00551BB3"/>
    <w:rsid w:val="00552590"/>
    <w:rsid w:val="005534E8"/>
    <w:rsid w:val="00554CA5"/>
    <w:rsid w:val="00555AB2"/>
    <w:rsid w:val="005609A4"/>
    <w:rsid w:val="005615C7"/>
    <w:rsid w:val="00565A3B"/>
    <w:rsid w:val="005668DD"/>
    <w:rsid w:val="00571717"/>
    <w:rsid w:val="0057357C"/>
    <w:rsid w:val="00574815"/>
    <w:rsid w:val="00574F0C"/>
    <w:rsid w:val="00576031"/>
    <w:rsid w:val="0058083A"/>
    <w:rsid w:val="00580883"/>
    <w:rsid w:val="00580E47"/>
    <w:rsid w:val="00585F8B"/>
    <w:rsid w:val="00586D41"/>
    <w:rsid w:val="00593E65"/>
    <w:rsid w:val="005958B5"/>
    <w:rsid w:val="005A034F"/>
    <w:rsid w:val="005A34C1"/>
    <w:rsid w:val="005A5A11"/>
    <w:rsid w:val="005A73C2"/>
    <w:rsid w:val="005B1926"/>
    <w:rsid w:val="005B3621"/>
    <w:rsid w:val="005B772E"/>
    <w:rsid w:val="005C2D31"/>
    <w:rsid w:val="005C3F9C"/>
    <w:rsid w:val="005C6058"/>
    <w:rsid w:val="005C70E5"/>
    <w:rsid w:val="005D0E13"/>
    <w:rsid w:val="005D6F72"/>
    <w:rsid w:val="005E1A3A"/>
    <w:rsid w:val="005E2075"/>
    <w:rsid w:val="005E7BD4"/>
    <w:rsid w:val="0060439F"/>
    <w:rsid w:val="00605480"/>
    <w:rsid w:val="00612947"/>
    <w:rsid w:val="00617D44"/>
    <w:rsid w:val="0062253F"/>
    <w:rsid w:val="00627BA0"/>
    <w:rsid w:val="00630595"/>
    <w:rsid w:val="0063499C"/>
    <w:rsid w:val="00636FF7"/>
    <w:rsid w:val="0064071C"/>
    <w:rsid w:val="006448FE"/>
    <w:rsid w:val="00645DE0"/>
    <w:rsid w:val="0064747E"/>
    <w:rsid w:val="00647745"/>
    <w:rsid w:val="00650D5A"/>
    <w:rsid w:val="00653310"/>
    <w:rsid w:val="00655021"/>
    <w:rsid w:val="00655B42"/>
    <w:rsid w:val="0065641B"/>
    <w:rsid w:val="00661B50"/>
    <w:rsid w:val="006661C8"/>
    <w:rsid w:val="00666826"/>
    <w:rsid w:val="00667E2A"/>
    <w:rsid w:val="006708D1"/>
    <w:rsid w:val="00671199"/>
    <w:rsid w:val="006733FF"/>
    <w:rsid w:val="00676A79"/>
    <w:rsid w:val="00681D82"/>
    <w:rsid w:val="00683360"/>
    <w:rsid w:val="00687E2C"/>
    <w:rsid w:val="006933C5"/>
    <w:rsid w:val="006938C9"/>
    <w:rsid w:val="006956C6"/>
    <w:rsid w:val="006A6174"/>
    <w:rsid w:val="006B3DBD"/>
    <w:rsid w:val="006B6D25"/>
    <w:rsid w:val="006C50FC"/>
    <w:rsid w:val="006C5689"/>
    <w:rsid w:val="006C5965"/>
    <w:rsid w:val="006D5E99"/>
    <w:rsid w:val="006D76F3"/>
    <w:rsid w:val="006D785A"/>
    <w:rsid w:val="006E0B52"/>
    <w:rsid w:val="006E4CB5"/>
    <w:rsid w:val="006F070E"/>
    <w:rsid w:val="006F0EEC"/>
    <w:rsid w:val="006F1DE9"/>
    <w:rsid w:val="00700AB3"/>
    <w:rsid w:val="0070286B"/>
    <w:rsid w:val="007100FB"/>
    <w:rsid w:val="0071039C"/>
    <w:rsid w:val="00710DC2"/>
    <w:rsid w:val="00713802"/>
    <w:rsid w:val="007153FD"/>
    <w:rsid w:val="007168FD"/>
    <w:rsid w:val="0072050C"/>
    <w:rsid w:val="0072060E"/>
    <w:rsid w:val="00725F74"/>
    <w:rsid w:val="0073065B"/>
    <w:rsid w:val="00733CC7"/>
    <w:rsid w:val="00737666"/>
    <w:rsid w:val="007443F2"/>
    <w:rsid w:val="007461E7"/>
    <w:rsid w:val="0075156B"/>
    <w:rsid w:val="00755287"/>
    <w:rsid w:val="00756B45"/>
    <w:rsid w:val="00763305"/>
    <w:rsid w:val="0076473D"/>
    <w:rsid w:val="00767B79"/>
    <w:rsid w:val="00767ED7"/>
    <w:rsid w:val="00771B3F"/>
    <w:rsid w:val="00772F32"/>
    <w:rsid w:val="00773C1E"/>
    <w:rsid w:val="00773FC8"/>
    <w:rsid w:val="0077672E"/>
    <w:rsid w:val="0078155B"/>
    <w:rsid w:val="00781F7E"/>
    <w:rsid w:val="007850D4"/>
    <w:rsid w:val="007877E3"/>
    <w:rsid w:val="00790B2F"/>
    <w:rsid w:val="00796170"/>
    <w:rsid w:val="007A02A1"/>
    <w:rsid w:val="007A0C96"/>
    <w:rsid w:val="007A3336"/>
    <w:rsid w:val="007A4344"/>
    <w:rsid w:val="007A46F7"/>
    <w:rsid w:val="007A4DA8"/>
    <w:rsid w:val="007B0F2B"/>
    <w:rsid w:val="007B13A9"/>
    <w:rsid w:val="007B1C7A"/>
    <w:rsid w:val="007B570A"/>
    <w:rsid w:val="007B74BE"/>
    <w:rsid w:val="007C1339"/>
    <w:rsid w:val="007C337C"/>
    <w:rsid w:val="007C4307"/>
    <w:rsid w:val="007C4CF0"/>
    <w:rsid w:val="007C612E"/>
    <w:rsid w:val="007D3221"/>
    <w:rsid w:val="007D72C8"/>
    <w:rsid w:val="007E2AD8"/>
    <w:rsid w:val="007E5BA2"/>
    <w:rsid w:val="007F178C"/>
    <w:rsid w:val="007F47F4"/>
    <w:rsid w:val="007F626B"/>
    <w:rsid w:val="008047CF"/>
    <w:rsid w:val="00805FF6"/>
    <w:rsid w:val="0080688E"/>
    <w:rsid w:val="008101B2"/>
    <w:rsid w:val="00810F6B"/>
    <w:rsid w:val="008116BC"/>
    <w:rsid w:val="00812A8B"/>
    <w:rsid w:val="008304E5"/>
    <w:rsid w:val="00834DD0"/>
    <w:rsid w:val="0083671F"/>
    <w:rsid w:val="008442B7"/>
    <w:rsid w:val="00846F3D"/>
    <w:rsid w:val="00850EAF"/>
    <w:rsid w:val="00853A87"/>
    <w:rsid w:val="00855FC7"/>
    <w:rsid w:val="00873D22"/>
    <w:rsid w:val="00875F4F"/>
    <w:rsid w:val="00880CB1"/>
    <w:rsid w:val="00885584"/>
    <w:rsid w:val="00893082"/>
    <w:rsid w:val="00895F7A"/>
    <w:rsid w:val="008A1445"/>
    <w:rsid w:val="008A5D0F"/>
    <w:rsid w:val="008B0EB1"/>
    <w:rsid w:val="008B145B"/>
    <w:rsid w:val="008C5DAE"/>
    <w:rsid w:val="008C7386"/>
    <w:rsid w:val="008D1125"/>
    <w:rsid w:val="008D209E"/>
    <w:rsid w:val="008D24C5"/>
    <w:rsid w:val="008D670D"/>
    <w:rsid w:val="008E060B"/>
    <w:rsid w:val="008E3F70"/>
    <w:rsid w:val="008E5DFF"/>
    <w:rsid w:val="008E6AB5"/>
    <w:rsid w:val="008E777E"/>
    <w:rsid w:val="008F05E2"/>
    <w:rsid w:val="008F1D91"/>
    <w:rsid w:val="008F3FDC"/>
    <w:rsid w:val="008F584F"/>
    <w:rsid w:val="008F6091"/>
    <w:rsid w:val="008F65F4"/>
    <w:rsid w:val="0090110B"/>
    <w:rsid w:val="00901958"/>
    <w:rsid w:val="00901C08"/>
    <w:rsid w:val="009026D0"/>
    <w:rsid w:val="00903DBB"/>
    <w:rsid w:val="00904A9D"/>
    <w:rsid w:val="009051A5"/>
    <w:rsid w:val="0090598F"/>
    <w:rsid w:val="00905F13"/>
    <w:rsid w:val="00906F58"/>
    <w:rsid w:val="00911969"/>
    <w:rsid w:val="0091785B"/>
    <w:rsid w:val="00917B69"/>
    <w:rsid w:val="00917D39"/>
    <w:rsid w:val="009225A3"/>
    <w:rsid w:val="009230C7"/>
    <w:rsid w:val="0093480C"/>
    <w:rsid w:val="0094112C"/>
    <w:rsid w:val="00944925"/>
    <w:rsid w:val="00946AA2"/>
    <w:rsid w:val="00952C98"/>
    <w:rsid w:val="00952F98"/>
    <w:rsid w:val="00965F1C"/>
    <w:rsid w:val="00967E50"/>
    <w:rsid w:val="00972A8A"/>
    <w:rsid w:val="00984826"/>
    <w:rsid w:val="00984F25"/>
    <w:rsid w:val="009855F3"/>
    <w:rsid w:val="009925F0"/>
    <w:rsid w:val="009936A4"/>
    <w:rsid w:val="009B554A"/>
    <w:rsid w:val="009C000F"/>
    <w:rsid w:val="009C1B48"/>
    <w:rsid w:val="009C44C3"/>
    <w:rsid w:val="009C6D1A"/>
    <w:rsid w:val="009D500E"/>
    <w:rsid w:val="009D6C53"/>
    <w:rsid w:val="009D77A2"/>
    <w:rsid w:val="009E0F82"/>
    <w:rsid w:val="009E181C"/>
    <w:rsid w:val="009E1C7E"/>
    <w:rsid w:val="009E2B51"/>
    <w:rsid w:val="009E5AE7"/>
    <w:rsid w:val="009F1EFF"/>
    <w:rsid w:val="009F3775"/>
    <w:rsid w:val="00A017A4"/>
    <w:rsid w:val="00A02640"/>
    <w:rsid w:val="00A030BC"/>
    <w:rsid w:val="00A11C24"/>
    <w:rsid w:val="00A155E6"/>
    <w:rsid w:val="00A20BC1"/>
    <w:rsid w:val="00A22B16"/>
    <w:rsid w:val="00A30EE3"/>
    <w:rsid w:val="00A32446"/>
    <w:rsid w:val="00A333D0"/>
    <w:rsid w:val="00A3670C"/>
    <w:rsid w:val="00A41659"/>
    <w:rsid w:val="00A53114"/>
    <w:rsid w:val="00A53F8A"/>
    <w:rsid w:val="00A54A6A"/>
    <w:rsid w:val="00A57370"/>
    <w:rsid w:val="00A57777"/>
    <w:rsid w:val="00A67336"/>
    <w:rsid w:val="00A702C2"/>
    <w:rsid w:val="00A716A3"/>
    <w:rsid w:val="00A73491"/>
    <w:rsid w:val="00A73592"/>
    <w:rsid w:val="00A743CB"/>
    <w:rsid w:val="00A74DE2"/>
    <w:rsid w:val="00A8459A"/>
    <w:rsid w:val="00A92FE5"/>
    <w:rsid w:val="00A94C37"/>
    <w:rsid w:val="00A94EB2"/>
    <w:rsid w:val="00A96582"/>
    <w:rsid w:val="00AA299E"/>
    <w:rsid w:val="00AA7671"/>
    <w:rsid w:val="00AB0B89"/>
    <w:rsid w:val="00AB374E"/>
    <w:rsid w:val="00AB69A2"/>
    <w:rsid w:val="00AC41F7"/>
    <w:rsid w:val="00AC6E60"/>
    <w:rsid w:val="00AC7A57"/>
    <w:rsid w:val="00AD099B"/>
    <w:rsid w:val="00AD0F64"/>
    <w:rsid w:val="00AD13B9"/>
    <w:rsid w:val="00AD23F0"/>
    <w:rsid w:val="00AD3EB3"/>
    <w:rsid w:val="00AE07ED"/>
    <w:rsid w:val="00AE31F2"/>
    <w:rsid w:val="00AE4BCE"/>
    <w:rsid w:val="00AE77D7"/>
    <w:rsid w:val="00AF1FEC"/>
    <w:rsid w:val="00B00F92"/>
    <w:rsid w:val="00B0561A"/>
    <w:rsid w:val="00B101E6"/>
    <w:rsid w:val="00B12A4D"/>
    <w:rsid w:val="00B14443"/>
    <w:rsid w:val="00B15B69"/>
    <w:rsid w:val="00B17649"/>
    <w:rsid w:val="00B22856"/>
    <w:rsid w:val="00B23624"/>
    <w:rsid w:val="00B3540F"/>
    <w:rsid w:val="00B40188"/>
    <w:rsid w:val="00B418DA"/>
    <w:rsid w:val="00B454F8"/>
    <w:rsid w:val="00B47847"/>
    <w:rsid w:val="00B50449"/>
    <w:rsid w:val="00B51F2D"/>
    <w:rsid w:val="00B53081"/>
    <w:rsid w:val="00B55DC9"/>
    <w:rsid w:val="00B57A18"/>
    <w:rsid w:val="00B600A0"/>
    <w:rsid w:val="00B6029B"/>
    <w:rsid w:val="00B62B9D"/>
    <w:rsid w:val="00B70C3B"/>
    <w:rsid w:val="00B72CCD"/>
    <w:rsid w:val="00B73DC8"/>
    <w:rsid w:val="00B81E8E"/>
    <w:rsid w:val="00B851F7"/>
    <w:rsid w:val="00B917CA"/>
    <w:rsid w:val="00B94FA5"/>
    <w:rsid w:val="00B97662"/>
    <w:rsid w:val="00B97BB8"/>
    <w:rsid w:val="00BA0CBB"/>
    <w:rsid w:val="00BA1108"/>
    <w:rsid w:val="00BA4451"/>
    <w:rsid w:val="00BA70F2"/>
    <w:rsid w:val="00BB1490"/>
    <w:rsid w:val="00BB473A"/>
    <w:rsid w:val="00BC24BE"/>
    <w:rsid w:val="00BC5FED"/>
    <w:rsid w:val="00BC6033"/>
    <w:rsid w:val="00BC7A24"/>
    <w:rsid w:val="00BD1279"/>
    <w:rsid w:val="00BD28B0"/>
    <w:rsid w:val="00BD36D0"/>
    <w:rsid w:val="00BD61ED"/>
    <w:rsid w:val="00BD6BCB"/>
    <w:rsid w:val="00BE03E1"/>
    <w:rsid w:val="00BE2208"/>
    <w:rsid w:val="00BE2DB2"/>
    <w:rsid w:val="00BE36E7"/>
    <w:rsid w:val="00BE4BB6"/>
    <w:rsid w:val="00BE54AD"/>
    <w:rsid w:val="00BE6969"/>
    <w:rsid w:val="00BE7001"/>
    <w:rsid w:val="00BF2985"/>
    <w:rsid w:val="00BF2B23"/>
    <w:rsid w:val="00C0519F"/>
    <w:rsid w:val="00C05201"/>
    <w:rsid w:val="00C070A2"/>
    <w:rsid w:val="00C1365D"/>
    <w:rsid w:val="00C13D5B"/>
    <w:rsid w:val="00C151D6"/>
    <w:rsid w:val="00C15864"/>
    <w:rsid w:val="00C24263"/>
    <w:rsid w:val="00C27D03"/>
    <w:rsid w:val="00C34C26"/>
    <w:rsid w:val="00C34D0D"/>
    <w:rsid w:val="00C36699"/>
    <w:rsid w:val="00C37505"/>
    <w:rsid w:val="00C42D64"/>
    <w:rsid w:val="00C448CF"/>
    <w:rsid w:val="00C47490"/>
    <w:rsid w:val="00C500EC"/>
    <w:rsid w:val="00C51463"/>
    <w:rsid w:val="00C520FC"/>
    <w:rsid w:val="00C531BB"/>
    <w:rsid w:val="00C53F84"/>
    <w:rsid w:val="00C5621C"/>
    <w:rsid w:val="00C57D9E"/>
    <w:rsid w:val="00C74680"/>
    <w:rsid w:val="00C90824"/>
    <w:rsid w:val="00C941C6"/>
    <w:rsid w:val="00C95D7E"/>
    <w:rsid w:val="00CA1205"/>
    <w:rsid w:val="00CA1B2E"/>
    <w:rsid w:val="00CA51C4"/>
    <w:rsid w:val="00CA698D"/>
    <w:rsid w:val="00CA70FB"/>
    <w:rsid w:val="00CA712D"/>
    <w:rsid w:val="00CB240B"/>
    <w:rsid w:val="00CB4095"/>
    <w:rsid w:val="00CB47D7"/>
    <w:rsid w:val="00CB6C9A"/>
    <w:rsid w:val="00CC101D"/>
    <w:rsid w:val="00CC37D2"/>
    <w:rsid w:val="00CD134D"/>
    <w:rsid w:val="00CD4BCD"/>
    <w:rsid w:val="00CD4BF8"/>
    <w:rsid w:val="00CE2217"/>
    <w:rsid w:val="00CE2281"/>
    <w:rsid w:val="00CE4E72"/>
    <w:rsid w:val="00CE7360"/>
    <w:rsid w:val="00CF0082"/>
    <w:rsid w:val="00CF62BD"/>
    <w:rsid w:val="00CF7298"/>
    <w:rsid w:val="00D02900"/>
    <w:rsid w:val="00D038B2"/>
    <w:rsid w:val="00D03FAB"/>
    <w:rsid w:val="00D0589D"/>
    <w:rsid w:val="00D06B21"/>
    <w:rsid w:val="00D1778C"/>
    <w:rsid w:val="00D21460"/>
    <w:rsid w:val="00D21979"/>
    <w:rsid w:val="00D22EC7"/>
    <w:rsid w:val="00D235C9"/>
    <w:rsid w:val="00D236B3"/>
    <w:rsid w:val="00D2392B"/>
    <w:rsid w:val="00D25253"/>
    <w:rsid w:val="00D25544"/>
    <w:rsid w:val="00D277BA"/>
    <w:rsid w:val="00D3022E"/>
    <w:rsid w:val="00D3251C"/>
    <w:rsid w:val="00D357E6"/>
    <w:rsid w:val="00D35AB4"/>
    <w:rsid w:val="00D412AA"/>
    <w:rsid w:val="00D44433"/>
    <w:rsid w:val="00D50C98"/>
    <w:rsid w:val="00D5400A"/>
    <w:rsid w:val="00D57D54"/>
    <w:rsid w:val="00D61C61"/>
    <w:rsid w:val="00D66E08"/>
    <w:rsid w:val="00D67B44"/>
    <w:rsid w:val="00D70709"/>
    <w:rsid w:val="00D739F1"/>
    <w:rsid w:val="00D7590C"/>
    <w:rsid w:val="00D80813"/>
    <w:rsid w:val="00D829E8"/>
    <w:rsid w:val="00D86D81"/>
    <w:rsid w:val="00DA1C70"/>
    <w:rsid w:val="00DA5E0F"/>
    <w:rsid w:val="00DA6183"/>
    <w:rsid w:val="00DA73FD"/>
    <w:rsid w:val="00DB6DFC"/>
    <w:rsid w:val="00DC1A2E"/>
    <w:rsid w:val="00DC2B5A"/>
    <w:rsid w:val="00DC3506"/>
    <w:rsid w:val="00DC4273"/>
    <w:rsid w:val="00DD0226"/>
    <w:rsid w:val="00DD06F9"/>
    <w:rsid w:val="00DD0AFF"/>
    <w:rsid w:val="00DD4F34"/>
    <w:rsid w:val="00DE1180"/>
    <w:rsid w:val="00DE2D78"/>
    <w:rsid w:val="00DE7FAF"/>
    <w:rsid w:val="00DF012E"/>
    <w:rsid w:val="00DF20A8"/>
    <w:rsid w:val="00DF7AFD"/>
    <w:rsid w:val="00E011B2"/>
    <w:rsid w:val="00E014F4"/>
    <w:rsid w:val="00E04E39"/>
    <w:rsid w:val="00E10E16"/>
    <w:rsid w:val="00E11D83"/>
    <w:rsid w:val="00E132BF"/>
    <w:rsid w:val="00E1355A"/>
    <w:rsid w:val="00E1366C"/>
    <w:rsid w:val="00E15C88"/>
    <w:rsid w:val="00E1611C"/>
    <w:rsid w:val="00E162DE"/>
    <w:rsid w:val="00E324E0"/>
    <w:rsid w:val="00E4333B"/>
    <w:rsid w:val="00E44963"/>
    <w:rsid w:val="00E475A3"/>
    <w:rsid w:val="00E53CBE"/>
    <w:rsid w:val="00E55248"/>
    <w:rsid w:val="00E6012C"/>
    <w:rsid w:val="00E601E1"/>
    <w:rsid w:val="00E61D02"/>
    <w:rsid w:val="00E65615"/>
    <w:rsid w:val="00E70CDA"/>
    <w:rsid w:val="00E84AA0"/>
    <w:rsid w:val="00E904C3"/>
    <w:rsid w:val="00E96063"/>
    <w:rsid w:val="00EA1F29"/>
    <w:rsid w:val="00EA2EF4"/>
    <w:rsid w:val="00EA63B3"/>
    <w:rsid w:val="00EA7DE2"/>
    <w:rsid w:val="00EB32F1"/>
    <w:rsid w:val="00EB347C"/>
    <w:rsid w:val="00EB35E2"/>
    <w:rsid w:val="00EB4AA3"/>
    <w:rsid w:val="00EB5EA1"/>
    <w:rsid w:val="00EB6769"/>
    <w:rsid w:val="00EB76EB"/>
    <w:rsid w:val="00EC244C"/>
    <w:rsid w:val="00EC6365"/>
    <w:rsid w:val="00ED27BD"/>
    <w:rsid w:val="00ED4050"/>
    <w:rsid w:val="00ED7F5B"/>
    <w:rsid w:val="00EF1F3B"/>
    <w:rsid w:val="00F004BC"/>
    <w:rsid w:val="00F005BE"/>
    <w:rsid w:val="00F047A5"/>
    <w:rsid w:val="00F04878"/>
    <w:rsid w:val="00F10845"/>
    <w:rsid w:val="00F22B41"/>
    <w:rsid w:val="00F23DC7"/>
    <w:rsid w:val="00F2633E"/>
    <w:rsid w:val="00F32522"/>
    <w:rsid w:val="00F328C7"/>
    <w:rsid w:val="00F37E4B"/>
    <w:rsid w:val="00F4082C"/>
    <w:rsid w:val="00F5171E"/>
    <w:rsid w:val="00F55E97"/>
    <w:rsid w:val="00F561AF"/>
    <w:rsid w:val="00F607E0"/>
    <w:rsid w:val="00F61E1C"/>
    <w:rsid w:val="00F625B8"/>
    <w:rsid w:val="00F6493D"/>
    <w:rsid w:val="00F7652F"/>
    <w:rsid w:val="00F81AAC"/>
    <w:rsid w:val="00F9170D"/>
    <w:rsid w:val="00F92997"/>
    <w:rsid w:val="00F93E83"/>
    <w:rsid w:val="00F95DF4"/>
    <w:rsid w:val="00FA16CD"/>
    <w:rsid w:val="00FA2E51"/>
    <w:rsid w:val="00FA4FC0"/>
    <w:rsid w:val="00FC1358"/>
    <w:rsid w:val="00FC2F4B"/>
    <w:rsid w:val="00FC34AB"/>
    <w:rsid w:val="00FC5FE7"/>
    <w:rsid w:val="00FC730D"/>
    <w:rsid w:val="00FC7377"/>
    <w:rsid w:val="00FD162D"/>
    <w:rsid w:val="00FD3739"/>
    <w:rsid w:val="00FD6743"/>
    <w:rsid w:val="00FE2A1C"/>
    <w:rsid w:val="00FE5654"/>
    <w:rsid w:val="00FF53EA"/>
    <w:rsid w:val="00FF56B2"/>
    <w:rsid w:val="00FF5AB4"/>
    <w:rsid w:val="00FF79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08"/>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096886"/>
  </w:style>
  <w:style w:type="character" w:customStyle="1" w:styleId="DateChar">
    <w:name w:val="Date Char"/>
    <w:basedOn w:val="DefaultParagraphFont"/>
    <w:link w:val="Date"/>
    <w:uiPriority w:val="99"/>
    <w:semiHidden/>
    <w:locked/>
    <w:rsid w:val="00096886"/>
    <w:rPr>
      <w:rFonts w:cs="Times New Roman"/>
    </w:rPr>
  </w:style>
  <w:style w:type="paragraph" w:styleId="Header">
    <w:name w:val="header"/>
    <w:basedOn w:val="Normal"/>
    <w:link w:val="HeaderChar"/>
    <w:uiPriority w:val="99"/>
    <w:semiHidden/>
    <w:rsid w:val="00D02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02900"/>
    <w:rPr>
      <w:rFonts w:cs="Times New Roman"/>
    </w:rPr>
  </w:style>
  <w:style w:type="paragraph" w:styleId="Footer">
    <w:name w:val="footer"/>
    <w:basedOn w:val="Normal"/>
    <w:link w:val="FooterChar"/>
    <w:uiPriority w:val="99"/>
    <w:rsid w:val="00D029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02900"/>
    <w:rPr>
      <w:rFonts w:cs="Times New Roman"/>
    </w:rPr>
  </w:style>
  <w:style w:type="paragraph" w:styleId="ListParagraph">
    <w:name w:val="List Paragraph"/>
    <w:basedOn w:val="Normal"/>
    <w:uiPriority w:val="99"/>
    <w:qFormat/>
    <w:rsid w:val="00D44433"/>
    <w:pPr>
      <w:ind w:left="720"/>
      <w:contextualSpacing/>
    </w:pPr>
  </w:style>
  <w:style w:type="paragraph" w:styleId="NormalWeb">
    <w:name w:val="Normal (Web)"/>
    <w:basedOn w:val="Normal"/>
    <w:uiPriority w:val="99"/>
    <w:semiHidden/>
    <w:rsid w:val="00EB4AA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rsid w:val="0072060E"/>
    <w:rPr>
      <w:rFonts w:cs="Times New Roman"/>
      <w:color w:val="0000FF"/>
      <w:u w:val="single"/>
    </w:rPr>
  </w:style>
  <w:style w:type="character" w:styleId="Strong">
    <w:name w:val="Strong"/>
    <w:basedOn w:val="DefaultParagraphFont"/>
    <w:uiPriority w:val="99"/>
    <w:qFormat/>
    <w:locked/>
    <w:rsid w:val="0072060E"/>
    <w:rPr>
      <w:rFonts w:cs="Times New Roman"/>
      <w:b/>
      <w:bCs/>
    </w:rPr>
  </w:style>
</w:styles>
</file>

<file path=word/webSettings.xml><?xml version="1.0" encoding="utf-8"?>
<w:webSettings xmlns:r="http://schemas.openxmlformats.org/officeDocument/2006/relationships" xmlns:w="http://schemas.openxmlformats.org/wordprocessingml/2006/main">
  <w:divs>
    <w:div w:id="1916864965">
      <w:marLeft w:val="0"/>
      <w:marRight w:val="0"/>
      <w:marTop w:val="0"/>
      <w:marBottom w:val="0"/>
      <w:divBdr>
        <w:top w:val="none" w:sz="0" w:space="0" w:color="auto"/>
        <w:left w:val="none" w:sz="0" w:space="0" w:color="auto"/>
        <w:bottom w:val="none" w:sz="0" w:space="0" w:color="auto"/>
        <w:right w:val="none" w:sz="0" w:space="0" w:color="auto"/>
      </w:divBdr>
    </w:div>
    <w:div w:id="1916864966">
      <w:marLeft w:val="0"/>
      <w:marRight w:val="0"/>
      <w:marTop w:val="0"/>
      <w:marBottom w:val="0"/>
      <w:divBdr>
        <w:top w:val="none" w:sz="0" w:space="0" w:color="auto"/>
        <w:left w:val="none" w:sz="0" w:space="0" w:color="auto"/>
        <w:bottom w:val="none" w:sz="0" w:space="0" w:color="auto"/>
        <w:right w:val="none" w:sz="0" w:space="0" w:color="auto"/>
      </w:divBdr>
    </w:div>
    <w:div w:id="1916864967">
      <w:marLeft w:val="0"/>
      <w:marRight w:val="0"/>
      <w:marTop w:val="0"/>
      <w:marBottom w:val="0"/>
      <w:divBdr>
        <w:top w:val="none" w:sz="0" w:space="0" w:color="auto"/>
        <w:left w:val="none" w:sz="0" w:space="0" w:color="auto"/>
        <w:bottom w:val="none" w:sz="0" w:space="0" w:color="auto"/>
        <w:right w:val="none" w:sz="0" w:space="0" w:color="auto"/>
      </w:divBdr>
    </w:div>
    <w:div w:id="1916864968">
      <w:marLeft w:val="0"/>
      <w:marRight w:val="0"/>
      <w:marTop w:val="0"/>
      <w:marBottom w:val="0"/>
      <w:divBdr>
        <w:top w:val="none" w:sz="0" w:space="0" w:color="auto"/>
        <w:left w:val="none" w:sz="0" w:space="0" w:color="auto"/>
        <w:bottom w:val="none" w:sz="0" w:space="0" w:color="auto"/>
        <w:right w:val="none" w:sz="0" w:space="0" w:color="auto"/>
      </w:divBdr>
    </w:div>
    <w:div w:id="1916864969">
      <w:marLeft w:val="0"/>
      <w:marRight w:val="0"/>
      <w:marTop w:val="0"/>
      <w:marBottom w:val="0"/>
      <w:divBdr>
        <w:top w:val="none" w:sz="0" w:space="0" w:color="auto"/>
        <w:left w:val="none" w:sz="0" w:space="0" w:color="auto"/>
        <w:bottom w:val="none" w:sz="0" w:space="0" w:color="auto"/>
        <w:right w:val="none" w:sz="0" w:space="0" w:color="auto"/>
      </w:divBdr>
    </w:div>
    <w:div w:id="1916864970">
      <w:marLeft w:val="0"/>
      <w:marRight w:val="0"/>
      <w:marTop w:val="0"/>
      <w:marBottom w:val="0"/>
      <w:divBdr>
        <w:top w:val="none" w:sz="0" w:space="0" w:color="auto"/>
        <w:left w:val="none" w:sz="0" w:space="0" w:color="auto"/>
        <w:bottom w:val="none" w:sz="0" w:space="0" w:color="auto"/>
        <w:right w:val="none" w:sz="0" w:space="0" w:color="auto"/>
      </w:divBdr>
    </w:div>
    <w:div w:id="1916864971">
      <w:marLeft w:val="0"/>
      <w:marRight w:val="0"/>
      <w:marTop w:val="0"/>
      <w:marBottom w:val="0"/>
      <w:divBdr>
        <w:top w:val="none" w:sz="0" w:space="0" w:color="auto"/>
        <w:left w:val="none" w:sz="0" w:space="0" w:color="auto"/>
        <w:bottom w:val="none" w:sz="0" w:space="0" w:color="auto"/>
        <w:right w:val="none" w:sz="0" w:space="0" w:color="auto"/>
      </w:divBdr>
    </w:div>
    <w:div w:id="1916864972">
      <w:marLeft w:val="0"/>
      <w:marRight w:val="0"/>
      <w:marTop w:val="0"/>
      <w:marBottom w:val="0"/>
      <w:divBdr>
        <w:top w:val="none" w:sz="0" w:space="0" w:color="auto"/>
        <w:left w:val="none" w:sz="0" w:space="0" w:color="auto"/>
        <w:bottom w:val="none" w:sz="0" w:space="0" w:color="auto"/>
        <w:right w:val="none" w:sz="0" w:space="0" w:color="auto"/>
      </w:divBdr>
    </w:div>
    <w:div w:id="1916864973">
      <w:marLeft w:val="0"/>
      <w:marRight w:val="0"/>
      <w:marTop w:val="0"/>
      <w:marBottom w:val="0"/>
      <w:divBdr>
        <w:top w:val="none" w:sz="0" w:space="0" w:color="auto"/>
        <w:left w:val="none" w:sz="0" w:space="0" w:color="auto"/>
        <w:bottom w:val="none" w:sz="0" w:space="0" w:color="auto"/>
        <w:right w:val="none" w:sz="0" w:space="0" w:color="auto"/>
      </w:divBdr>
    </w:div>
    <w:div w:id="1916864974">
      <w:marLeft w:val="0"/>
      <w:marRight w:val="0"/>
      <w:marTop w:val="0"/>
      <w:marBottom w:val="0"/>
      <w:divBdr>
        <w:top w:val="none" w:sz="0" w:space="0" w:color="auto"/>
        <w:left w:val="none" w:sz="0" w:space="0" w:color="auto"/>
        <w:bottom w:val="none" w:sz="0" w:space="0" w:color="auto"/>
        <w:right w:val="none" w:sz="0" w:space="0" w:color="auto"/>
      </w:divBdr>
    </w:div>
    <w:div w:id="1916864975">
      <w:marLeft w:val="0"/>
      <w:marRight w:val="0"/>
      <w:marTop w:val="0"/>
      <w:marBottom w:val="0"/>
      <w:divBdr>
        <w:top w:val="none" w:sz="0" w:space="0" w:color="auto"/>
        <w:left w:val="none" w:sz="0" w:space="0" w:color="auto"/>
        <w:bottom w:val="none" w:sz="0" w:space="0" w:color="auto"/>
        <w:right w:val="none" w:sz="0" w:space="0" w:color="auto"/>
      </w:divBdr>
    </w:div>
    <w:div w:id="1916864976">
      <w:marLeft w:val="0"/>
      <w:marRight w:val="0"/>
      <w:marTop w:val="0"/>
      <w:marBottom w:val="0"/>
      <w:divBdr>
        <w:top w:val="none" w:sz="0" w:space="0" w:color="auto"/>
        <w:left w:val="none" w:sz="0" w:space="0" w:color="auto"/>
        <w:bottom w:val="none" w:sz="0" w:space="0" w:color="auto"/>
        <w:right w:val="none" w:sz="0" w:space="0" w:color="auto"/>
      </w:divBdr>
    </w:div>
    <w:div w:id="1916864977">
      <w:marLeft w:val="0"/>
      <w:marRight w:val="0"/>
      <w:marTop w:val="0"/>
      <w:marBottom w:val="0"/>
      <w:divBdr>
        <w:top w:val="none" w:sz="0" w:space="0" w:color="auto"/>
        <w:left w:val="none" w:sz="0" w:space="0" w:color="auto"/>
        <w:bottom w:val="none" w:sz="0" w:space="0" w:color="auto"/>
        <w:right w:val="none" w:sz="0" w:space="0" w:color="auto"/>
      </w:divBdr>
    </w:div>
    <w:div w:id="1916864978">
      <w:marLeft w:val="0"/>
      <w:marRight w:val="0"/>
      <w:marTop w:val="0"/>
      <w:marBottom w:val="0"/>
      <w:divBdr>
        <w:top w:val="none" w:sz="0" w:space="0" w:color="auto"/>
        <w:left w:val="none" w:sz="0" w:space="0" w:color="auto"/>
        <w:bottom w:val="none" w:sz="0" w:space="0" w:color="auto"/>
        <w:right w:val="none" w:sz="0" w:space="0" w:color="auto"/>
      </w:divBdr>
    </w:div>
    <w:div w:id="1916864979">
      <w:marLeft w:val="0"/>
      <w:marRight w:val="0"/>
      <w:marTop w:val="0"/>
      <w:marBottom w:val="0"/>
      <w:divBdr>
        <w:top w:val="none" w:sz="0" w:space="0" w:color="auto"/>
        <w:left w:val="none" w:sz="0" w:space="0" w:color="auto"/>
        <w:bottom w:val="none" w:sz="0" w:space="0" w:color="auto"/>
        <w:right w:val="none" w:sz="0" w:space="0" w:color="auto"/>
      </w:divBdr>
    </w:div>
    <w:div w:id="1916864980">
      <w:marLeft w:val="0"/>
      <w:marRight w:val="0"/>
      <w:marTop w:val="0"/>
      <w:marBottom w:val="0"/>
      <w:divBdr>
        <w:top w:val="none" w:sz="0" w:space="0" w:color="auto"/>
        <w:left w:val="none" w:sz="0" w:space="0" w:color="auto"/>
        <w:bottom w:val="none" w:sz="0" w:space="0" w:color="auto"/>
        <w:right w:val="none" w:sz="0" w:space="0" w:color="auto"/>
      </w:divBdr>
    </w:div>
    <w:div w:id="1916864981">
      <w:marLeft w:val="0"/>
      <w:marRight w:val="0"/>
      <w:marTop w:val="0"/>
      <w:marBottom w:val="0"/>
      <w:divBdr>
        <w:top w:val="none" w:sz="0" w:space="0" w:color="auto"/>
        <w:left w:val="none" w:sz="0" w:space="0" w:color="auto"/>
        <w:bottom w:val="none" w:sz="0" w:space="0" w:color="auto"/>
        <w:right w:val="none" w:sz="0" w:space="0" w:color="auto"/>
      </w:divBdr>
    </w:div>
    <w:div w:id="1916864982">
      <w:marLeft w:val="0"/>
      <w:marRight w:val="0"/>
      <w:marTop w:val="0"/>
      <w:marBottom w:val="0"/>
      <w:divBdr>
        <w:top w:val="none" w:sz="0" w:space="0" w:color="auto"/>
        <w:left w:val="none" w:sz="0" w:space="0" w:color="auto"/>
        <w:bottom w:val="none" w:sz="0" w:space="0" w:color="auto"/>
        <w:right w:val="none" w:sz="0" w:space="0" w:color="auto"/>
      </w:divBdr>
    </w:div>
    <w:div w:id="1916864983">
      <w:marLeft w:val="0"/>
      <w:marRight w:val="0"/>
      <w:marTop w:val="0"/>
      <w:marBottom w:val="0"/>
      <w:divBdr>
        <w:top w:val="none" w:sz="0" w:space="0" w:color="auto"/>
        <w:left w:val="none" w:sz="0" w:space="0" w:color="auto"/>
        <w:bottom w:val="none" w:sz="0" w:space="0" w:color="auto"/>
        <w:right w:val="none" w:sz="0" w:space="0" w:color="auto"/>
      </w:divBdr>
    </w:div>
    <w:div w:id="1916864984">
      <w:marLeft w:val="0"/>
      <w:marRight w:val="0"/>
      <w:marTop w:val="0"/>
      <w:marBottom w:val="0"/>
      <w:divBdr>
        <w:top w:val="none" w:sz="0" w:space="0" w:color="auto"/>
        <w:left w:val="none" w:sz="0" w:space="0" w:color="auto"/>
        <w:bottom w:val="none" w:sz="0" w:space="0" w:color="auto"/>
        <w:right w:val="none" w:sz="0" w:space="0" w:color="auto"/>
      </w:divBdr>
    </w:div>
    <w:div w:id="1916864985">
      <w:marLeft w:val="0"/>
      <w:marRight w:val="0"/>
      <w:marTop w:val="0"/>
      <w:marBottom w:val="0"/>
      <w:divBdr>
        <w:top w:val="none" w:sz="0" w:space="0" w:color="auto"/>
        <w:left w:val="none" w:sz="0" w:space="0" w:color="auto"/>
        <w:bottom w:val="none" w:sz="0" w:space="0" w:color="auto"/>
        <w:right w:val="none" w:sz="0" w:space="0" w:color="auto"/>
      </w:divBdr>
    </w:div>
    <w:div w:id="1916864986">
      <w:marLeft w:val="0"/>
      <w:marRight w:val="0"/>
      <w:marTop w:val="0"/>
      <w:marBottom w:val="0"/>
      <w:divBdr>
        <w:top w:val="none" w:sz="0" w:space="0" w:color="auto"/>
        <w:left w:val="none" w:sz="0" w:space="0" w:color="auto"/>
        <w:bottom w:val="none" w:sz="0" w:space="0" w:color="auto"/>
        <w:right w:val="none" w:sz="0" w:space="0" w:color="auto"/>
      </w:divBdr>
    </w:div>
    <w:div w:id="1916864987">
      <w:marLeft w:val="0"/>
      <w:marRight w:val="0"/>
      <w:marTop w:val="0"/>
      <w:marBottom w:val="0"/>
      <w:divBdr>
        <w:top w:val="none" w:sz="0" w:space="0" w:color="auto"/>
        <w:left w:val="none" w:sz="0" w:space="0" w:color="auto"/>
        <w:bottom w:val="none" w:sz="0" w:space="0" w:color="auto"/>
        <w:right w:val="none" w:sz="0" w:space="0" w:color="auto"/>
      </w:divBdr>
    </w:div>
    <w:div w:id="1916864988">
      <w:marLeft w:val="0"/>
      <w:marRight w:val="0"/>
      <w:marTop w:val="0"/>
      <w:marBottom w:val="0"/>
      <w:divBdr>
        <w:top w:val="none" w:sz="0" w:space="0" w:color="auto"/>
        <w:left w:val="none" w:sz="0" w:space="0" w:color="auto"/>
        <w:bottom w:val="none" w:sz="0" w:space="0" w:color="auto"/>
        <w:right w:val="none" w:sz="0" w:space="0" w:color="auto"/>
      </w:divBdr>
    </w:div>
    <w:div w:id="1916864989">
      <w:marLeft w:val="0"/>
      <w:marRight w:val="0"/>
      <w:marTop w:val="0"/>
      <w:marBottom w:val="0"/>
      <w:divBdr>
        <w:top w:val="none" w:sz="0" w:space="0" w:color="auto"/>
        <w:left w:val="none" w:sz="0" w:space="0" w:color="auto"/>
        <w:bottom w:val="none" w:sz="0" w:space="0" w:color="auto"/>
        <w:right w:val="none" w:sz="0" w:space="0" w:color="auto"/>
      </w:divBdr>
    </w:div>
    <w:div w:id="1916864990">
      <w:marLeft w:val="0"/>
      <w:marRight w:val="0"/>
      <w:marTop w:val="0"/>
      <w:marBottom w:val="0"/>
      <w:divBdr>
        <w:top w:val="none" w:sz="0" w:space="0" w:color="auto"/>
        <w:left w:val="none" w:sz="0" w:space="0" w:color="auto"/>
        <w:bottom w:val="none" w:sz="0" w:space="0" w:color="auto"/>
        <w:right w:val="none" w:sz="0" w:space="0" w:color="auto"/>
      </w:divBdr>
    </w:div>
    <w:div w:id="1916864991">
      <w:marLeft w:val="0"/>
      <w:marRight w:val="0"/>
      <w:marTop w:val="0"/>
      <w:marBottom w:val="0"/>
      <w:divBdr>
        <w:top w:val="none" w:sz="0" w:space="0" w:color="auto"/>
        <w:left w:val="none" w:sz="0" w:space="0" w:color="auto"/>
        <w:bottom w:val="none" w:sz="0" w:space="0" w:color="auto"/>
        <w:right w:val="none" w:sz="0" w:space="0" w:color="auto"/>
      </w:divBdr>
    </w:div>
    <w:div w:id="1916864992">
      <w:marLeft w:val="0"/>
      <w:marRight w:val="0"/>
      <w:marTop w:val="0"/>
      <w:marBottom w:val="0"/>
      <w:divBdr>
        <w:top w:val="none" w:sz="0" w:space="0" w:color="auto"/>
        <w:left w:val="none" w:sz="0" w:space="0" w:color="auto"/>
        <w:bottom w:val="none" w:sz="0" w:space="0" w:color="auto"/>
        <w:right w:val="none" w:sz="0" w:space="0" w:color="auto"/>
      </w:divBdr>
    </w:div>
    <w:div w:id="1916864993">
      <w:marLeft w:val="0"/>
      <w:marRight w:val="0"/>
      <w:marTop w:val="0"/>
      <w:marBottom w:val="0"/>
      <w:divBdr>
        <w:top w:val="none" w:sz="0" w:space="0" w:color="auto"/>
        <w:left w:val="none" w:sz="0" w:space="0" w:color="auto"/>
        <w:bottom w:val="none" w:sz="0" w:space="0" w:color="auto"/>
        <w:right w:val="none" w:sz="0" w:space="0" w:color="auto"/>
      </w:divBdr>
    </w:div>
    <w:div w:id="1916864994">
      <w:marLeft w:val="0"/>
      <w:marRight w:val="0"/>
      <w:marTop w:val="0"/>
      <w:marBottom w:val="0"/>
      <w:divBdr>
        <w:top w:val="none" w:sz="0" w:space="0" w:color="auto"/>
        <w:left w:val="none" w:sz="0" w:space="0" w:color="auto"/>
        <w:bottom w:val="none" w:sz="0" w:space="0" w:color="auto"/>
        <w:right w:val="none" w:sz="0" w:space="0" w:color="auto"/>
      </w:divBdr>
    </w:div>
    <w:div w:id="1916864995">
      <w:marLeft w:val="0"/>
      <w:marRight w:val="0"/>
      <w:marTop w:val="0"/>
      <w:marBottom w:val="0"/>
      <w:divBdr>
        <w:top w:val="none" w:sz="0" w:space="0" w:color="auto"/>
        <w:left w:val="none" w:sz="0" w:space="0" w:color="auto"/>
        <w:bottom w:val="none" w:sz="0" w:space="0" w:color="auto"/>
        <w:right w:val="none" w:sz="0" w:space="0" w:color="auto"/>
      </w:divBdr>
    </w:div>
    <w:div w:id="1916864996">
      <w:marLeft w:val="0"/>
      <w:marRight w:val="0"/>
      <w:marTop w:val="0"/>
      <w:marBottom w:val="0"/>
      <w:divBdr>
        <w:top w:val="none" w:sz="0" w:space="0" w:color="auto"/>
        <w:left w:val="none" w:sz="0" w:space="0" w:color="auto"/>
        <w:bottom w:val="none" w:sz="0" w:space="0" w:color="auto"/>
        <w:right w:val="none" w:sz="0" w:space="0" w:color="auto"/>
      </w:divBdr>
    </w:div>
    <w:div w:id="1916864997">
      <w:marLeft w:val="0"/>
      <w:marRight w:val="0"/>
      <w:marTop w:val="0"/>
      <w:marBottom w:val="0"/>
      <w:divBdr>
        <w:top w:val="none" w:sz="0" w:space="0" w:color="auto"/>
        <w:left w:val="none" w:sz="0" w:space="0" w:color="auto"/>
        <w:bottom w:val="none" w:sz="0" w:space="0" w:color="auto"/>
        <w:right w:val="none" w:sz="0" w:space="0" w:color="auto"/>
      </w:divBdr>
    </w:div>
    <w:div w:id="1916864998">
      <w:marLeft w:val="0"/>
      <w:marRight w:val="0"/>
      <w:marTop w:val="0"/>
      <w:marBottom w:val="0"/>
      <w:divBdr>
        <w:top w:val="none" w:sz="0" w:space="0" w:color="auto"/>
        <w:left w:val="none" w:sz="0" w:space="0" w:color="auto"/>
        <w:bottom w:val="none" w:sz="0" w:space="0" w:color="auto"/>
        <w:right w:val="none" w:sz="0" w:space="0" w:color="auto"/>
      </w:divBdr>
    </w:div>
    <w:div w:id="1916864999">
      <w:marLeft w:val="0"/>
      <w:marRight w:val="0"/>
      <w:marTop w:val="0"/>
      <w:marBottom w:val="0"/>
      <w:divBdr>
        <w:top w:val="none" w:sz="0" w:space="0" w:color="auto"/>
        <w:left w:val="none" w:sz="0" w:space="0" w:color="auto"/>
        <w:bottom w:val="none" w:sz="0" w:space="0" w:color="auto"/>
        <w:right w:val="none" w:sz="0" w:space="0" w:color="auto"/>
      </w:divBdr>
    </w:div>
    <w:div w:id="1916865000">
      <w:marLeft w:val="0"/>
      <w:marRight w:val="0"/>
      <w:marTop w:val="0"/>
      <w:marBottom w:val="0"/>
      <w:divBdr>
        <w:top w:val="none" w:sz="0" w:space="0" w:color="auto"/>
        <w:left w:val="none" w:sz="0" w:space="0" w:color="auto"/>
        <w:bottom w:val="none" w:sz="0" w:space="0" w:color="auto"/>
        <w:right w:val="none" w:sz="0" w:space="0" w:color="auto"/>
      </w:divBdr>
    </w:div>
    <w:div w:id="1916865001">
      <w:marLeft w:val="0"/>
      <w:marRight w:val="0"/>
      <w:marTop w:val="0"/>
      <w:marBottom w:val="0"/>
      <w:divBdr>
        <w:top w:val="none" w:sz="0" w:space="0" w:color="auto"/>
        <w:left w:val="none" w:sz="0" w:space="0" w:color="auto"/>
        <w:bottom w:val="none" w:sz="0" w:space="0" w:color="auto"/>
        <w:right w:val="none" w:sz="0" w:space="0" w:color="auto"/>
      </w:divBdr>
    </w:div>
    <w:div w:id="1916865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2035</Words>
  <Characters>11603</Characters>
  <Application>Microsoft Office Outlook</Application>
  <DocSecurity>0</DocSecurity>
  <Lines>0</Lines>
  <Paragraphs>0</Paragraphs>
  <ScaleCrop>false</ScaleCrop>
  <Company>UCM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University of Central Missouri</dc:title>
  <dc:subject/>
  <dc:creator>Adebayo, Bob</dc:creator>
  <cp:keywords/>
  <dc:description/>
  <cp:lastModifiedBy>Theron &amp; Gwyn Aych</cp:lastModifiedBy>
  <cp:revision>2</cp:revision>
  <cp:lastPrinted>2010-08-30T15:50:00Z</cp:lastPrinted>
  <dcterms:created xsi:type="dcterms:W3CDTF">2010-09-17T05:16:00Z</dcterms:created>
  <dcterms:modified xsi:type="dcterms:W3CDTF">2010-09-17T05:16:00Z</dcterms:modified>
</cp:coreProperties>
</file>